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D673DB" w:rsidTr="009251C0" w14:paraId="49565CAD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:rsidRPr="00513883" w:rsidR="0053398C" w:rsidP="0053398C" w:rsidRDefault="00A114E4" w14:paraId="6644695A" w14:textId="25FDCDDB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:rsidRPr="00513883" w:rsidR="00D673DB" w:rsidP="0053398C" w:rsidRDefault="00D673DB" w14:paraId="0E50B5AD" w14:textId="601B4F91">
            <w:pPr>
              <w:suppressLineNumbers/>
              <w:jc w:val="center"/>
              <w:rPr>
                <w:rFonts w:cs="Times New Roman" w:asciiTheme="majorHAnsi" w:hAnsiTheme="majorHAnsi"/>
                <w:b/>
                <w:lang w:val="pt-BR"/>
              </w:rPr>
            </w:pPr>
            <w:r w:rsidRPr="00513883">
              <w:rPr>
                <w:rFonts w:cs="Times New Roman" w:asciiTheme="majorHAnsi" w:hAnsiTheme="majorHAnsi"/>
                <w:b/>
                <w:lang w:val="pt-BR"/>
              </w:rPr>
              <w:t xml:space="preserve">DELIBERAÇÃO </w:t>
            </w:r>
            <w:r w:rsidRPr="002F3207">
              <w:rPr>
                <w:rFonts w:cs="Times New Roman" w:asciiTheme="majorHAnsi" w:hAnsiTheme="majorHAnsi"/>
                <w:b/>
                <w:lang w:val="pt-BR"/>
              </w:rPr>
              <w:t xml:space="preserve">Nº </w:t>
            </w:r>
            <w:r w:rsidRPr="002F3207" w:rsidR="002F3207">
              <w:rPr>
                <w:rFonts w:cs="Times New Roman" w:asciiTheme="majorHAnsi" w:hAnsiTheme="majorHAnsi"/>
                <w:b/>
                <w:lang w:val="pt-BR"/>
              </w:rPr>
              <w:t>215</w:t>
            </w:r>
            <w:r w:rsidRPr="002F3207" w:rsidR="005F0E1F">
              <w:rPr>
                <w:rFonts w:cs="Times New Roman" w:asciiTheme="majorHAnsi" w:hAnsiTheme="majorHAnsi"/>
                <w:b/>
                <w:lang w:val="pt-BR"/>
              </w:rPr>
              <w:t>.5</w:t>
            </w:r>
            <w:r w:rsidRPr="002F3207" w:rsidR="0000345C">
              <w:rPr>
                <w:rFonts w:cs="Times New Roman" w:asciiTheme="majorHAnsi" w:hAnsiTheme="majorHAnsi"/>
                <w:b/>
                <w:lang w:val="pt-BR"/>
              </w:rPr>
              <w:t>.</w:t>
            </w:r>
            <w:r w:rsidRPr="002F3207" w:rsidR="002F3207">
              <w:rPr>
                <w:rFonts w:cs="Times New Roman" w:asciiTheme="majorHAnsi" w:hAnsiTheme="majorHAnsi"/>
                <w:b/>
                <w:lang w:val="pt-BR"/>
              </w:rPr>
              <w:t>2</w:t>
            </w:r>
            <w:r w:rsidRPr="002F3207" w:rsidR="001F127C">
              <w:rPr>
                <w:rFonts w:cs="Times New Roman" w:asciiTheme="majorHAnsi" w:hAnsiTheme="majorHAnsi"/>
                <w:b/>
                <w:lang w:val="pt-BR"/>
              </w:rPr>
              <w:t>/2023</w:t>
            </w:r>
          </w:p>
        </w:tc>
      </w:tr>
    </w:tbl>
    <w:p w:rsidRPr="00513883" w:rsidR="002A57A5" w:rsidP="00E552B6" w:rsidRDefault="002A57A5" w14:paraId="4DFB29E4" w14:textId="2CE75419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Pr="00513883" w:rsidR="0053398C" w:rsidTr="009251C0" w14:paraId="5AF2129E" w14:textId="7777777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513883" w:rsidR="0053398C" w:rsidP="003E4F3C" w:rsidRDefault="0053398C" w14:paraId="6551C7CD" w14:textId="77777777">
            <w:pPr>
              <w:suppressLineNumbers/>
              <w:jc w:val="both"/>
              <w:rPr>
                <w:rFonts w:cs="Times New Roman" w:asciiTheme="majorHAnsi" w:hAnsiTheme="majorHAnsi"/>
                <w:sz w:val="20"/>
                <w:lang w:val="pt-BR"/>
              </w:rPr>
            </w:pPr>
            <w:r w:rsidRPr="00513883">
              <w:rPr>
                <w:rFonts w:cs="Times New Roman" w:asciiTheme="majorHAnsi" w:hAnsiTheme="majorHAnsi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:rsidRPr="00C244D5" w:rsidR="0053398C" w:rsidP="003E4F3C" w:rsidRDefault="001F0450" w14:paraId="0D6AF2D2" w14:textId="384DA753">
            <w:pPr>
              <w:suppressLineNumbers/>
              <w:jc w:val="both"/>
              <w:rPr>
                <w:rFonts w:asciiTheme="majorHAnsi" w:hAnsiTheme="majorHAnsi"/>
                <w:highlight w:val="yellow"/>
                <w:lang w:val="pt-BR"/>
              </w:rPr>
            </w:pPr>
            <w:r w:rsidRPr="00C244D5">
              <w:rPr>
                <w:rFonts w:cs="Times New Roman" w:asciiTheme="majorHAnsi" w:hAnsiTheme="majorHAnsi"/>
                <w:lang w:val="pt-BR"/>
              </w:rPr>
              <w:t>Regimento Interno do CAU/MG; Protocolo SICCAU n° 1583603/2022</w:t>
            </w:r>
          </w:p>
        </w:tc>
      </w:tr>
      <w:tr w:rsidRPr="00513883" w:rsidR="0053398C" w:rsidTr="009251C0" w14:paraId="53EF9FE9" w14:textId="7777777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513883" w:rsidR="0053398C" w:rsidP="003E4F3C" w:rsidRDefault="0053398C" w14:paraId="13C1174F" w14:textId="77777777">
            <w:pPr>
              <w:suppressLineNumbers/>
              <w:jc w:val="both"/>
              <w:rPr>
                <w:rFonts w:cs="Times New Roman" w:asciiTheme="majorHAnsi" w:hAnsiTheme="majorHAnsi"/>
                <w:sz w:val="20"/>
                <w:lang w:val="pt-BR"/>
              </w:rPr>
            </w:pPr>
            <w:r w:rsidRPr="00513883">
              <w:rPr>
                <w:rFonts w:cs="Times New Roman" w:asciiTheme="majorHAnsi" w:hAnsiTheme="majorHAnsi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:rsidRPr="00C244D5" w:rsidR="0053398C" w:rsidP="00DA4263" w:rsidRDefault="001F0450" w14:paraId="71A7F85B" w14:textId="6570E1E3">
            <w:pPr>
              <w:suppressLineNumbers/>
              <w:jc w:val="both"/>
              <w:rPr>
                <w:rFonts w:cs="Times New Roman" w:asciiTheme="majorHAnsi" w:hAnsiTheme="majorHAnsi"/>
                <w:highlight w:val="yellow"/>
                <w:lang w:val="pt-BR"/>
              </w:rPr>
            </w:pPr>
            <w:r w:rsidRPr="00C244D5">
              <w:rPr>
                <w:rFonts w:cs="Times New Roman" w:asciiTheme="majorHAnsi" w:hAnsiTheme="majorHAnsi"/>
                <w:lang w:val="pt-BR"/>
              </w:rPr>
              <w:t>Comissão de Exercício Profissional do CAU/MG; Presidência do CAU/MG</w:t>
            </w:r>
          </w:p>
        </w:tc>
      </w:tr>
      <w:tr w:rsidRPr="00513883" w:rsidR="0053398C" w:rsidTr="009251C0" w14:paraId="691FB5AE" w14:textId="7777777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513883" w:rsidR="0053398C" w:rsidP="003E4F3C" w:rsidRDefault="0053398C" w14:paraId="2AD69A5E" w14:textId="77777777">
            <w:pPr>
              <w:suppressLineNumbers/>
              <w:jc w:val="both"/>
              <w:rPr>
                <w:rFonts w:cs="Times New Roman" w:asciiTheme="majorHAnsi" w:hAnsiTheme="majorHAnsi"/>
                <w:sz w:val="20"/>
                <w:lang w:val="pt-BR"/>
              </w:rPr>
            </w:pPr>
            <w:bookmarkStart w:name="_Hlk65249485" w:id="0"/>
            <w:r w:rsidRPr="00513883">
              <w:rPr>
                <w:rFonts w:cs="Times New Roman" w:asciiTheme="majorHAnsi" w:hAnsiTheme="majorHAnsi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:rsidRPr="00513883" w:rsidR="0053398C" w:rsidP="00DA4263" w:rsidRDefault="007145FA" w14:paraId="05ECD122" w14:textId="788BBC91">
            <w:pPr>
              <w:suppressLineNumbers/>
              <w:jc w:val="both"/>
              <w:rPr>
                <w:rFonts w:cs="Times New Roman" w:asciiTheme="majorHAnsi" w:hAnsiTheme="majorHAnsi"/>
                <w:lang w:val="pt-BR"/>
              </w:rPr>
            </w:pPr>
            <w:r w:rsidRPr="001F0450">
              <w:rPr>
                <w:rFonts w:cs="Times New Roman" w:asciiTheme="majorHAnsi" w:hAnsiTheme="majorHAnsi"/>
                <w:b/>
                <w:lang w:val="pt-BR"/>
              </w:rPr>
              <w:t>MANIFESTAÇÃO DO CONSELHO DE PATRIMÔNIO DE CORINTO</w:t>
            </w:r>
          </w:p>
        </w:tc>
      </w:tr>
      <w:bookmarkEnd w:id="0"/>
    </w:tbl>
    <w:p w:rsidRPr="00513883" w:rsidR="0053398C" w:rsidP="00513883" w:rsidRDefault="0053398C" w14:paraId="084217BC" w14:textId="77777777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p w:rsidRPr="00513883" w:rsidR="008B36A9" w:rsidP="00513883" w:rsidRDefault="008B36A9" w14:paraId="0834AFCE" w14:textId="6D6A2B6B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  <w:r w:rsidRPr="00513883">
        <w:rPr>
          <w:rFonts w:cs="Times New Roman" w:asciiTheme="majorHAnsi" w:hAnsiTheme="majorHAnsi"/>
          <w:lang w:val="pt-BR"/>
        </w:rPr>
        <w:t xml:space="preserve">A </w:t>
      </w:r>
      <w:r w:rsidR="00A114E4">
        <w:rPr>
          <w:rFonts w:cs="Times New Roman" w:asciiTheme="majorHAnsi" w:hAnsiTheme="majorHAnsi"/>
          <w:lang w:val="pt-BR"/>
        </w:rPr>
        <w:t xml:space="preserve">COMISSÃO DE EXERCÍCIO PROFISSIONAL </w:t>
      </w:r>
      <w:r w:rsidRPr="00513883">
        <w:rPr>
          <w:rFonts w:cs="Times New Roman" w:asciiTheme="majorHAnsi" w:hAnsiTheme="majorHAnsi"/>
          <w:lang w:val="pt-BR"/>
        </w:rPr>
        <w:t xml:space="preserve">– </w:t>
      </w:r>
      <w:r w:rsidRPr="00513883" w:rsidR="0053398C">
        <w:rPr>
          <w:rFonts w:cs="Times New Roman" w:asciiTheme="majorHAnsi" w:hAnsiTheme="majorHAnsi"/>
          <w:lang w:val="pt-BR"/>
        </w:rPr>
        <w:t>C</w:t>
      </w:r>
      <w:r w:rsidR="00A114E4">
        <w:rPr>
          <w:rFonts w:cs="Times New Roman" w:asciiTheme="majorHAnsi" w:hAnsiTheme="majorHAnsi"/>
          <w:lang w:val="pt-BR"/>
        </w:rPr>
        <w:t>EP</w:t>
      </w:r>
      <w:r w:rsidRPr="00513883">
        <w:rPr>
          <w:rFonts w:cs="Times New Roman" w:asciiTheme="majorHAnsi" w:hAnsiTheme="majorHAnsi"/>
          <w:lang w:val="pt-BR"/>
        </w:rPr>
        <w:t xml:space="preserve">-CAU/MG, reunida </w:t>
      </w:r>
      <w:r w:rsidR="00D55D3C">
        <w:rPr>
          <w:rFonts w:cs="Times New Roman" w:asciiTheme="majorHAnsi" w:hAnsiTheme="majorHAnsi"/>
          <w:lang w:val="pt-BR"/>
        </w:rPr>
        <w:t>ordinariamente,</w:t>
      </w:r>
      <w:r w:rsidR="00A114E4">
        <w:rPr>
          <w:rFonts w:cs="Times New Roman" w:asciiTheme="majorHAnsi" w:hAnsiTheme="majorHAnsi"/>
          <w:lang w:val="pt-BR"/>
        </w:rPr>
        <w:t xml:space="preserve"> na Sede do CAU/MG, à Avenida Getúlio Vargas, n° 447, Bair</w:t>
      </w:r>
      <w:r w:rsidR="00816999">
        <w:rPr>
          <w:rFonts w:cs="Times New Roman" w:asciiTheme="majorHAnsi" w:hAnsiTheme="majorHAnsi"/>
          <w:lang w:val="pt-BR"/>
        </w:rPr>
        <w:t>ro Funcionários, Belo Horizonte/</w:t>
      </w:r>
      <w:r w:rsidR="00A114E4">
        <w:rPr>
          <w:rFonts w:cs="Times New Roman" w:asciiTheme="majorHAnsi" w:hAnsiTheme="majorHAnsi"/>
          <w:lang w:val="pt-BR"/>
        </w:rPr>
        <w:t xml:space="preserve">MG, </w:t>
      </w:r>
      <w:r w:rsidRPr="00513883">
        <w:rPr>
          <w:rFonts w:cs="Times New Roman" w:asciiTheme="majorHAnsi" w:hAnsiTheme="majorHAnsi"/>
          <w:lang w:val="pt-BR"/>
        </w:rPr>
        <w:t xml:space="preserve">no dia </w:t>
      </w:r>
      <w:r w:rsidR="002F3207">
        <w:rPr>
          <w:rFonts w:cs="Times New Roman" w:asciiTheme="majorHAnsi" w:hAnsiTheme="majorHAnsi"/>
          <w:lang w:val="pt-BR"/>
        </w:rPr>
        <w:t>19</w:t>
      </w:r>
      <w:r w:rsidR="00D55D3C">
        <w:rPr>
          <w:rFonts w:cs="Times New Roman" w:asciiTheme="majorHAnsi" w:hAnsiTheme="majorHAnsi"/>
          <w:lang w:val="pt-BR"/>
        </w:rPr>
        <w:t xml:space="preserve"> de j</w:t>
      </w:r>
      <w:r w:rsidR="002F3207">
        <w:rPr>
          <w:rFonts w:cs="Times New Roman" w:asciiTheme="majorHAnsi" w:hAnsiTheme="majorHAnsi"/>
          <w:lang w:val="pt-BR"/>
        </w:rPr>
        <w:t>unho</w:t>
      </w:r>
      <w:r w:rsidR="00D55D3C">
        <w:rPr>
          <w:rFonts w:cs="Times New Roman" w:asciiTheme="majorHAnsi" w:hAnsiTheme="majorHAnsi"/>
          <w:lang w:val="pt-BR"/>
        </w:rPr>
        <w:t xml:space="preserve"> de 2023</w:t>
      </w:r>
      <w:r w:rsidRPr="00513883" w:rsidR="0053398C">
        <w:rPr>
          <w:rFonts w:cs="Times New Roman" w:asciiTheme="majorHAnsi" w:hAnsiTheme="majorHAnsi"/>
          <w:lang w:val="pt-BR"/>
        </w:rPr>
        <w:t xml:space="preserve"> no uso das competências normativas e regimentais, </w:t>
      </w:r>
      <w:r w:rsidRPr="00513883">
        <w:rPr>
          <w:rFonts w:cs="Times New Roman" w:asciiTheme="majorHAnsi" w:hAnsiTheme="majorHAnsi"/>
          <w:lang w:val="pt-BR"/>
        </w:rPr>
        <w:t>após análise do assunto em epígrafe, e</w:t>
      </w:r>
    </w:p>
    <w:p w:rsidRPr="003F114F" w:rsidR="005F0E1F" w:rsidP="005F0E1F" w:rsidRDefault="005F0E1F" w14:paraId="7C248302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:rsidRPr="003F114F" w:rsidR="005F0E1F" w:rsidP="005F0E1F" w:rsidRDefault="005F0E1F" w14:paraId="1FC2ED5F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o disposto no Regimento Interno do CAU/MG:</w:t>
      </w:r>
    </w:p>
    <w:p w:rsidRPr="008379CF" w:rsidR="005F0E1F" w:rsidP="005F0E1F" w:rsidRDefault="005F0E1F" w14:paraId="141922EA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Art. 92. Compete às comissões ordinárias e especiais:</w:t>
      </w:r>
    </w:p>
    <w:p w:rsidRPr="008379CF" w:rsidR="005F0E1F" w:rsidP="005F0E1F" w:rsidRDefault="005F0E1F" w14:paraId="235D36D6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:rsidRPr="008379CF" w:rsidR="005F0E1F" w:rsidP="005F0E1F" w:rsidRDefault="005F0E1F" w14:paraId="4A0D82B0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(...)</w:t>
      </w:r>
    </w:p>
    <w:p w:rsidRPr="008379CF" w:rsidR="005F0E1F" w:rsidP="005F0E1F" w:rsidRDefault="005F0E1F" w14:paraId="035B76B4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Pr="008379CF" w:rsidR="005F0E1F" w:rsidP="005F0E1F" w:rsidRDefault="005F0E1F" w14:paraId="66E585EB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(...)</w:t>
      </w:r>
    </w:p>
    <w:p w:rsidRPr="008379CF" w:rsidR="005F0E1F" w:rsidP="005F0E1F" w:rsidRDefault="005F0E1F" w14:paraId="0E4F80DC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:rsidRPr="008379CF" w:rsidR="005F0E1F" w:rsidP="005F0E1F" w:rsidRDefault="005F0E1F" w14:paraId="1B0F2E66" w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(...)</w:t>
      </w:r>
    </w:p>
    <w:p w:rsidRPr="008379CF" w:rsidR="005F0E1F" w:rsidP="005F0E1F" w:rsidRDefault="005F0E1F" w14:paraId="3073B48E" w14:textId="77777777">
      <w:pPr>
        <w:pStyle w:val="PargrafodaLista"/>
        <w:numPr>
          <w:ilvl w:val="0"/>
          <w:numId w:val="38"/>
        </w:numPr>
        <w:suppressLineNumbers/>
        <w:suppressAutoHyphens w:val="0"/>
        <w:spacing w:line="276" w:lineRule="auto"/>
        <w:rPr>
          <w:rFonts w:cs="Times New Roman" w:asciiTheme="majorHAnsi" w:hAnsiTheme="majorHAnsi"/>
          <w:i/>
          <w:iCs/>
          <w:sz w:val="20"/>
          <w:szCs w:val="20"/>
          <w:lang w:val="pt-BR"/>
        </w:rPr>
      </w:pPr>
      <w:r w:rsidRPr="008379CF">
        <w:rPr>
          <w:rFonts w:cs="Times New Roman" w:asciiTheme="majorHAnsi" w:hAnsiTheme="majorHAnsi"/>
          <w:i/>
          <w:iCs/>
          <w:sz w:val="20"/>
          <w:szCs w:val="20"/>
          <w:lang w:val="pt-BR"/>
        </w:rPr>
        <w:t>atividades técnicas no exercício da Arquitetura e Urbanismo;</w:t>
      </w:r>
    </w:p>
    <w:p w:rsidRPr="003D5BAC" w:rsidR="005F0E1F" w:rsidP="005F0E1F" w:rsidRDefault="005F0E1F" w14:paraId="61E27996" w14:textId="77777777">
      <w:pPr>
        <w:pStyle w:val="PargrafodaLista"/>
        <w:suppressLineNumbers/>
        <w:spacing w:line="276" w:lineRule="auto"/>
        <w:ind w:left="2880"/>
        <w:rPr>
          <w:rFonts w:cs="Times New Roman" w:asciiTheme="majorHAnsi" w:hAnsiTheme="majorHAnsi"/>
          <w:lang w:val="pt-BR"/>
        </w:rPr>
      </w:pPr>
    </w:p>
    <w:p w:rsidRPr="003F114F" w:rsidR="005F0E1F" w:rsidP="005F0E1F" w:rsidRDefault="005F0E1F" w14:paraId="485F4CB4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:rsidRPr="003F114F" w:rsidR="005F0E1F" w:rsidP="005F0E1F" w:rsidRDefault="005F0E1F" w14:paraId="0B0E6DBC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a Lei Federal n° 12.378, de 31 de dezembro de 2010, que regulamenta o exercício da Arquitetura e Urbanismo no Brasil, e dá outras providências;</w:t>
      </w:r>
    </w:p>
    <w:p w:rsidRPr="003F114F" w:rsidR="005F0E1F" w:rsidP="005F0E1F" w:rsidRDefault="005F0E1F" w14:paraId="43947EB1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:rsidRPr="003F114F" w:rsidR="005F0E1F" w:rsidP="005F0E1F" w:rsidRDefault="005F0E1F" w14:paraId="32CD2B63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:rsidRPr="003F114F" w:rsidR="005F0E1F" w:rsidP="005F0E1F" w:rsidRDefault="005F0E1F" w14:paraId="04063BB3" w14:textId="77777777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3F114F">
        <w:rPr>
          <w:rFonts w:cs="Arial" w:asciiTheme="majorHAnsi" w:hAnsiTheme="majorHAnsi"/>
          <w:lang w:val="pt-BR"/>
        </w:rPr>
        <w:lastRenderedPageBreak/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:rsidRPr="00E346F3" w:rsidR="00E346F3" w:rsidP="00E346F3" w:rsidRDefault="00E346F3" w14:paraId="506D1E4C" w14:textId="12A9B290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E346F3">
        <w:rPr>
          <w:rFonts w:cs="Arial" w:asciiTheme="majorHAnsi" w:hAnsiTheme="majorHAnsi"/>
          <w:lang w:val="pt-BR"/>
        </w:rPr>
        <w:t xml:space="preserve">Considerando a Lei Federal nº 14.038, de 17 de agosto de 2020, que dispõe sobre a regulamentação da profissão de Historiador e dá outras providências, na qual apresenta as atribuições do historiador para a elaboração de pareceres sobre temas históricos. </w:t>
      </w:r>
    </w:p>
    <w:p w:rsidRPr="00E346F3" w:rsidR="00E346F3" w:rsidP="00E26503" w:rsidRDefault="00E346F3" w14:paraId="25452800" w14:textId="4A3D739D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i/>
          <w:iCs/>
          <w:sz w:val="21"/>
          <w:szCs w:val="21"/>
          <w:lang w:val="pt-BR"/>
        </w:rPr>
      </w:pP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>“</w:t>
      </w:r>
      <w:r w:rsidRPr="00E346F3">
        <w:rPr>
          <w:rFonts w:cs="Times New Roman" w:asciiTheme="majorHAnsi" w:hAnsiTheme="majorHAnsi"/>
          <w:i/>
          <w:iCs/>
          <w:sz w:val="21"/>
          <w:szCs w:val="21"/>
          <w:lang w:val="pt-BR"/>
        </w:rPr>
        <w:t>Art. 4º  São atribuições dos historiadores:</w:t>
      </w:r>
    </w:p>
    <w:p w:rsidRPr="00E346F3" w:rsidR="00E346F3" w:rsidP="00E26503" w:rsidRDefault="00193780" w14:paraId="37FDFF5B" w14:textId="563F8BD7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i/>
          <w:iCs/>
          <w:sz w:val="21"/>
          <w:szCs w:val="21"/>
          <w:lang w:val="pt-BR"/>
        </w:rPr>
      </w:pP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>(</w:t>
      </w:r>
      <w:r w:rsidRPr="00E346F3" w:rsidR="00E346F3">
        <w:rPr>
          <w:rFonts w:cs="Times New Roman" w:asciiTheme="majorHAnsi" w:hAnsiTheme="majorHAnsi"/>
          <w:i/>
          <w:iCs/>
          <w:sz w:val="21"/>
          <w:szCs w:val="21"/>
          <w:lang w:val="pt-BR"/>
        </w:rPr>
        <w:t>...</w:t>
      </w: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>)</w:t>
      </w:r>
    </w:p>
    <w:p w:rsidRPr="00E346F3" w:rsidR="00E346F3" w:rsidP="00E26503" w:rsidRDefault="00E346F3" w14:paraId="43433706" w14:textId="508DDD83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i/>
          <w:iCs/>
          <w:sz w:val="21"/>
          <w:szCs w:val="21"/>
          <w:lang w:val="pt-BR"/>
        </w:rPr>
      </w:pPr>
      <w:r w:rsidRPr="00E346F3">
        <w:rPr>
          <w:rFonts w:cs="Times New Roman" w:asciiTheme="majorHAnsi" w:hAnsiTheme="majorHAnsi"/>
          <w:i/>
          <w:iCs/>
          <w:sz w:val="21"/>
          <w:szCs w:val="21"/>
          <w:lang w:val="pt-BR"/>
        </w:rPr>
        <w:t>VI - elaboração de pareceres, relatórios, planos, projetos, laudos e trabalhos sobre temas históricos.</w:t>
      </w: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>”</w:t>
      </w:r>
    </w:p>
    <w:p w:rsidRPr="00193780" w:rsidR="00193780" w:rsidP="00193780" w:rsidRDefault="00193780" w14:paraId="799BF6DA" w14:textId="4EC631AA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193780">
        <w:rPr>
          <w:rFonts w:cs="Arial" w:asciiTheme="majorHAnsi" w:hAnsiTheme="majorHAnsi"/>
          <w:lang w:val="pt-BR"/>
        </w:rPr>
        <w:t>Considerando o questionamento enviado ao CAU/MG sobre as atribuições de historiadores para emitir parecer conclusivo, avaliando, na perspectiva do valor estético, paisagístico, arquitetônico e urbanístico um bem material;</w:t>
      </w:r>
    </w:p>
    <w:p w:rsidRPr="00193780" w:rsidR="005873C6" w:rsidP="00193780" w:rsidRDefault="007145FA" w14:paraId="25216B7A" w14:textId="3C9D297C">
      <w:pPr>
        <w:suppressLineNumbers/>
        <w:spacing w:before="240" w:after="240" w:line="312" w:lineRule="auto"/>
        <w:jc w:val="both"/>
        <w:rPr>
          <w:rFonts w:cs="Arial" w:asciiTheme="majorHAnsi" w:hAnsiTheme="majorHAnsi"/>
          <w:lang w:val="pt-BR"/>
        </w:rPr>
      </w:pPr>
      <w:r w:rsidRPr="00193780">
        <w:rPr>
          <w:rFonts w:cs="Arial" w:asciiTheme="majorHAnsi" w:hAnsiTheme="majorHAnsi"/>
          <w:lang w:val="pt-BR"/>
        </w:rPr>
        <w:t>Considerando que o Parecer técnico sobre proteção como patrimônio cultural do bem “Açude da Central”, foi elaborado e assinado pela historiadora Michele Abreu Arroyo. E que neste parecer a Historiadora emite opinião técnica sobre</w:t>
      </w:r>
      <w:r w:rsidR="007053C1">
        <w:rPr>
          <w:rFonts w:cs="Arial" w:asciiTheme="majorHAnsi" w:hAnsiTheme="majorHAnsi"/>
          <w:lang w:val="pt-BR"/>
        </w:rPr>
        <w:t xml:space="preserve"> relações espaciais e mudanças de paisagem, o que extrapolam as atribuições conferidas pela </w:t>
      </w:r>
      <w:r w:rsidRPr="007053C1" w:rsidR="007053C1">
        <w:rPr>
          <w:rFonts w:cs="Arial" w:asciiTheme="majorHAnsi" w:hAnsiTheme="majorHAnsi"/>
          <w:lang w:val="pt-BR"/>
        </w:rPr>
        <w:t>Lei Federal nº 14.038</w:t>
      </w:r>
      <w:r w:rsidR="007053C1">
        <w:rPr>
          <w:rFonts w:cs="Arial" w:asciiTheme="majorHAnsi" w:hAnsiTheme="majorHAnsi"/>
          <w:lang w:val="pt-BR"/>
        </w:rPr>
        <w:t>/</w:t>
      </w:r>
      <w:r w:rsidRPr="007053C1" w:rsidR="007053C1">
        <w:rPr>
          <w:rFonts w:cs="Arial" w:asciiTheme="majorHAnsi" w:hAnsiTheme="majorHAnsi"/>
          <w:lang w:val="pt-BR"/>
        </w:rPr>
        <w:t>2020</w:t>
      </w:r>
      <w:r w:rsidR="00DE02CB">
        <w:rPr>
          <w:rFonts w:cs="Arial" w:asciiTheme="majorHAnsi" w:hAnsiTheme="majorHAnsi"/>
          <w:lang w:val="pt-BR"/>
        </w:rPr>
        <w:t xml:space="preserve">, que limita seu parecer a questões históricas. </w:t>
      </w:r>
      <w:r w:rsidR="00D11C8A">
        <w:rPr>
          <w:rFonts w:cs="Arial" w:asciiTheme="majorHAnsi" w:hAnsiTheme="majorHAnsi"/>
          <w:lang w:val="pt-BR"/>
        </w:rPr>
        <w:t xml:space="preserve">Trechos do </w:t>
      </w:r>
      <w:r w:rsidRPr="00193780" w:rsidR="00D11C8A">
        <w:rPr>
          <w:rFonts w:cs="Arial" w:asciiTheme="majorHAnsi" w:hAnsiTheme="majorHAnsi"/>
          <w:lang w:val="pt-BR"/>
        </w:rPr>
        <w:t>Parecer técnico sobre proteção como patrimônio cultural do bem “Açude da Central”</w:t>
      </w:r>
      <w:r w:rsidR="00D11C8A">
        <w:rPr>
          <w:rFonts w:cs="Arial" w:asciiTheme="majorHAnsi" w:hAnsiTheme="majorHAnsi"/>
          <w:lang w:val="pt-BR"/>
        </w:rPr>
        <w:t xml:space="preserve">, com as manifestações técnicas da </w:t>
      </w:r>
      <w:r w:rsidRPr="00193780" w:rsidR="00D11C8A">
        <w:rPr>
          <w:rFonts w:cs="Arial" w:asciiTheme="majorHAnsi" w:hAnsiTheme="majorHAnsi"/>
          <w:lang w:val="pt-BR"/>
        </w:rPr>
        <w:t>historiadora Michele Abreu Arroyo</w:t>
      </w:r>
      <w:r w:rsidRPr="00D11C8A" w:rsidR="00D11C8A">
        <w:rPr>
          <w:rFonts w:cs="Arial" w:asciiTheme="majorHAnsi" w:hAnsiTheme="majorHAnsi"/>
          <w:lang w:val="pt-BR"/>
        </w:rPr>
        <w:t xml:space="preserve"> </w:t>
      </w:r>
      <w:r w:rsidRPr="00193780" w:rsidR="00D11C8A">
        <w:rPr>
          <w:rFonts w:cs="Arial" w:asciiTheme="majorHAnsi" w:hAnsiTheme="majorHAnsi"/>
          <w:lang w:val="pt-BR"/>
        </w:rPr>
        <w:t>sobre</w:t>
      </w:r>
      <w:r w:rsidR="00D11C8A">
        <w:rPr>
          <w:rFonts w:cs="Arial" w:asciiTheme="majorHAnsi" w:hAnsiTheme="majorHAnsi"/>
          <w:lang w:val="pt-BR"/>
        </w:rPr>
        <w:t xml:space="preserve"> relações espaciais e mudanças de paisagem:</w:t>
      </w:r>
    </w:p>
    <w:p w:rsidR="007145FA" w:rsidP="00E26503" w:rsidRDefault="005873C6" w14:paraId="0C866AB3" w14:textId="6107FBA4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sz w:val="21"/>
          <w:szCs w:val="21"/>
          <w:lang w:val="pt-BR"/>
        </w:rPr>
      </w:pPr>
      <w:r w:rsidRPr="005873C6">
        <w:rPr>
          <w:rFonts w:cs="Times New Roman" w:asciiTheme="majorHAnsi" w:hAnsiTheme="majorHAnsi"/>
          <w:i/>
          <w:iCs/>
          <w:sz w:val="21"/>
          <w:szCs w:val="21"/>
          <w:lang w:val="pt-BR"/>
        </w:rPr>
        <w:t xml:space="preserve">“De acordo com a documentação pesquisada e vistoria realizada no município em 23 de fevereiro de 2022, identifica-se que o bem cultural indicado, Açude da Central, já não existe e que </w:t>
      </w:r>
      <w:r w:rsidRPr="00E346F3">
        <w:rPr>
          <w:rFonts w:cs="Times New Roman" w:asciiTheme="majorHAnsi" w:hAnsiTheme="majorHAnsi"/>
          <w:b/>
          <w:bCs/>
          <w:i/>
          <w:iCs/>
          <w:sz w:val="21"/>
          <w:szCs w:val="21"/>
          <w:u w:val="single"/>
          <w:lang w:val="pt-BR"/>
        </w:rPr>
        <w:t>sua relação espacial</w:t>
      </w:r>
      <w:r w:rsidRPr="005873C6">
        <w:rPr>
          <w:rFonts w:cs="Times New Roman" w:asciiTheme="majorHAnsi" w:hAnsiTheme="majorHAnsi"/>
          <w:i/>
          <w:iCs/>
          <w:sz w:val="21"/>
          <w:szCs w:val="21"/>
          <w:lang w:val="pt-BR"/>
        </w:rPr>
        <w:t xml:space="preserve"> com a área onde encontra-se o conjunto tombado, Estação Ferroviária e Acervo Ferroviário de Bens Imóveis e Máquina Locomotiva nº 526, também é deslocada, portanto não participa diretamente da paisagem cultural efetivamente protegida.”</w:t>
      </w: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 xml:space="preserve"> </w:t>
      </w:r>
      <w:r>
        <w:rPr>
          <w:rFonts w:cs="Times New Roman" w:asciiTheme="majorHAnsi" w:hAnsiTheme="majorHAnsi"/>
          <w:sz w:val="21"/>
          <w:szCs w:val="21"/>
          <w:lang w:val="pt-BR"/>
        </w:rPr>
        <w:t>(pág. 10)</w:t>
      </w:r>
      <w:r w:rsidR="00E346F3">
        <w:rPr>
          <w:rFonts w:cs="Times New Roman" w:asciiTheme="majorHAnsi" w:hAnsiTheme="majorHAnsi"/>
          <w:sz w:val="21"/>
          <w:szCs w:val="21"/>
          <w:lang w:val="pt-BR"/>
        </w:rPr>
        <w:t xml:space="preserve"> (grifou-se)</w:t>
      </w:r>
    </w:p>
    <w:p w:rsidR="005873C6" w:rsidP="00E26503" w:rsidRDefault="005873C6" w14:paraId="3BB49446" w14:textId="77777777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sz w:val="21"/>
          <w:szCs w:val="21"/>
          <w:lang w:val="pt-BR"/>
        </w:rPr>
      </w:pPr>
    </w:p>
    <w:p w:rsidR="005873C6" w:rsidP="00E26503" w:rsidRDefault="005873C6" w14:paraId="06CC6833" w14:textId="6A61DE33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Theme="majorHAnsi" w:hAnsiTheme="majorHAnsi"/>
          <w:sz w:val="21"/>
          <w:szCs w:val="21"/>
          <w:lang w:val="pt-BR"/>
        </w:rPr>
        <w:t xml:space="preserve">“... </w:t>
      </w:r>
      <w:r w:rsidRPr="005873C6">
        <w:rPr>
          <w:rFonts w:cs="Times New Roman" w:asciiTheme="majorHAnsi" w:hAnsiTheme="majorHAnsi"/>
          <w:sz w:val="21"/>
          <w:szCs w:val="21"/>
          <w:lang w:val="pt-BR"/>
        </w:rPr>
        <w:t xml:space="preserve">a atual obra de duplicação não representa significativo impacto na área onde </w:t>
      </w:r>
      <w:r>
        <w:rPr>
          <w:rFonts w:cs="Times New Roman" w:asciiTheme="majorHAnsi" w:hAnsiTheme="majorHAnsi"/>
          <w:sz w:val="21"/>
          <w:szCs w:val="21"/>
          <w:lang w:val="pt-BR"/>
        </w:rPr>
        <w:t xml:space="preserve">localizasse </w:t>
      </w:r>
      <w:r w:rsidRPr="005873C6">
        <w:rPr>
          <w:rFonts w:cs="Times New Roman" w:asciiTheme="majorHAnsi" w:hAnsiTheme="majorHAnsi"/>
          <w:sz w:val="21"/>
          <w:szCs w:val="21"/>
          <w:lang w:val="pt-BR"/>
        </w:rPr>
        <w:t>o antigo Açude da Central, indicado pela administração municipal, uma vez que já não é possível aferir suas</w:t>
      </w:r>
      <w:r>
        <w:rPr>
          <w:rFonts w:cs="Times New Roman" w:asciiTheme="majorHAnsi" w:hAnsiTheme="majorHAnsi"/>
          <w:sz w:val="21"/>
          <w:szCs w:val="21"/>
          <w:lang w:val="pt-BR"/>
        </w:rPr>
        <w:t xml:space="preserve"> </w:t>
      </w:r>
      <w:r w:rsidRPr="005873C6">
        <w:rPr>
          <w:rFonts w:cs="Times New Roman" w:asciiTheme="majorHAnsi" w:hAnsiTheme="majorHAnsi"/>
          <w:sz w:val="21"/>
          <w:szCs w:val="21"/>
          <w:lang w:val="pt-BR"/>
        </w:rPr>
        <w:t>estruturas físicas. Tratam-se de intervenções que trarão melhorias para o uso da infraestrutura rodoviária já</w:t>
      </w:r>
      <w:r>
        <w:rPr>
          <w:rFonts w:cs="Times New Roman" w:asciiTheme="majorHAnsi" w:hAnsiTheme="majorHAnsi"/>
          <w:sz w:val="21"/>
          <w:szCs w:val="21"/>
          <w:lang w:val="pt-BR"/>
        </w:rPr>
        <w:t xml:space="preserve"> </w:t>
      </w:r>
      <w:r w:rsidRPr="005873C6">
        <w:rPr>
          <w:rFonts w:cs="Times New Roman" w:asciiTheme="majorHAnsi" w:hAnsiTheme="majorHAnsi"/>
          <w:sz w:val="21"/>
          <w:szCs w:val="21"/>
          <w:lang w:val="pt-BR"/>
        </w:rPr>
        <w:t xml:space="preserve">existente através de </w:t>
      </w:r>
      <w:r w:rsidRPr="00E346F3">
        <w:rPr>
          <w:rFonts w:cs="Times New Roman" w:asciiTheme="majorHAnsi" w:hAnsiTheme="majorHAnsi"/>
          <w:b/>
          <w:bCs/>
          <w:sz w:val="21"/>
          <w:szCs w:val="21"/>
          <w:u w:val="single"/>
          <w:lang w:val="pt-BR"/>
        </w:rPr>
        <w:t>mudanças pontuais em relação à paisagem local</w:t>
      </w:r>
      <w:r w:rsidRPr="005873C6">
        <w:rPr>
          <w:rFonts w:cs="Times New Roman" w:asciiTheme="majorHAnsi" w:hAnsiTheme="majorHAnsi"/>
          <w:sz w:val="21"/>
          <w:szCs w:val="21"/>
          <w:lang w:val="pt-BR"/>
        </w:rPr>
        <w:t>.</w:t>
      </w:r>
      <w:r w:rsidRPr="005873C6">
        <w:rPr>
          <w:rFonts w:cs="Times New Roman" w:asciiTheme="majorHAnsi" w:hAnsiTheme="majorHAnsi"/>
          <w:i/>
          <w:iCs/>
          <w:sz w:val="21"/>
          <w:szCs w:val="21"/>
          <w:lang w:val="pt-BR"/>
        </w:rPr>
        <w:t>”</w:t>
      </w:r>
      <w:r>
        <w:rPr>
          <w:rFonts w:cs="Times New Roman" w:asciiTheme="majorHAnsi" w:hAnsiTheme="majorHAnsi"/>
          <w:i/>
          <w:iCs/>
          <w:sz w:val="21"/>
          <w:szCs w:val="21"/>
          <w:lang w:val="pt-BR"/>
        </w:rPr>
        <w:t xml:space="preserve"> </w:t>
      </w:r>
      <w:r>
        <w:rPr>
          <w:rFonts w:cs="Times New Roman" w:asciiTheme="majorHAnsi" w:hAnsiTheme="majorHAnsi"/>
          <w:sz w:val="21"/>
          <w:szCs w:val="21"/>
          <w:lang w:val="pt-BR"/>
        </w:rPr>
        <w:t>(pág. 10)</w:t>
      </w:r>
      <w:r w:rsidR="00E346F3">
        <w:rPr>
          <w:rFonts w:cs="Times New Roman" w:asciiTheme="majorHAnsi" w:hAnsiTheme="majorHAnsi"/>
          <w:sz w:val="21"/>
          <w:szCs w:val="21"/>
          <w:lang w:val="pt-BR"/>
        </w:rPr>
        <w:t xml:space="preserve"> (grifou-se)</w:t>
      </w:r>
    </w:p>
    <w:p w:rsidR="008E50F3" w:rsidP="00E26503" w:rsidRDefault="008E50F3" w14:paraId="01FE8D28" w14:textId="77777777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sz w:val="21"/>
          <w:szCs w:val="21"/>
          <w:lang w:val="pt-BR"/>
        </w:rPr>
      </w:pPr>
    </w:p>
    <w:p w:rsidRPr="005873C6" w:rsidR="008E50F3" w:rsidP="00E26503" w:rsidRDefault="008E50F3" w14:paraId="664B3F27" w14:textId="2D3071C5">
      <w:pPr>
        <w:widowControl/>
        <w:suppressLineNumbers/>
        <w:spacing w:before="120" w:after="120" w:line="276" w:lineRule="auto"/>
        <w:ind w:left="2268"/>
        <w:jc w:val="both"/>
        <w:rPr>
          <w:rFonts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Theme="majorHAnsi" w:hAnsiTheme="majorHAnsi"/>
          <w:sz w:val="21"/>
          <w:szCs w:val="21"/>
          <w:lang w:val="pt-BR"/>
        </w:rPr>
        <w:t>“</w:t>
      </w:r>
      <w:r w:rsidRPr="008E50F3">
        <w:rPr>
          <w:rFonts w:cs="Times New Roman" w:asciiTheme="majorHAnsi" w:hAnsiTheme="majorHAnsi"/>
          <w:sz w:val="21"/>
          <w:szCs w:val="21"/>
          <w:lang w:val="pt-BR"/>
        </w:rPr>
        <w:t xml:space="preserve">Considerando que as obras de duplicação </w:t>
      </w:r>
      <w:r w:rsidRPr="00E346F3">
        <w:rPr>
          <w:rFonts w:cs="Times New Roman" w:asciiTheme="majorHAnsi" w:hAnsiTheme="majorHAnsi"/>
          <w:b/>
          <w:bCs/>
          <w:sz w:val="21"/>
          <w:szCs w:val="21"/>
          <w:u w:val="single"/>
          <w:lang w:val="pt-BR"/>
        </w:rPr>
        <w:t>não alteram de forma significativa a paisagem local</w:t>
      </w:r>
      <w:r w:rsidRPr="008E50F3">
        <w:rPr>
          <w:rFonts w:cs="Times New Roman" w:asciiTheme="majorHAnsi" w:hAnsiTheme="majorHAnsi"/>
          <w:sz w:val="21"/>
          <w:szCs w:val="21"/>
          <w:lang w:val="pt-BR"/>
        </w:rPr>
        <w:t>;</w:t>
      </w:r>
      <w:r>
        <w:rPr>
          <w:rFonts w:cs="Times New Roman" w:asciiTheme="majorHAnsi" w:hAnsiTheme="majorHAnsi"/>
          <w:sz w:val="21"/>
          <w:szCs w:val="21"/>
          <w:lang w:val="pt-BR"/>
        </w:rPr>
        <w:t>” (pág. 11)</w:t>
      </w:r>
      <w:r w:rsidR="00E346F3">
        <w:rPr>
          <w:rFonts w:cs="Times New Roman" w:asciiTheme="majorHAnsi" w:hAnsiTheme="majorHAnsi"/>
          <w:sz w:val="21"/>
          <w:szCs w:val="21"/>
          <w:lang w:val="pt-BR"/>
        </w:rPr>
        <w:t xml:space="preserve"> (grifou-se)</w:t>
      </w:r>
    </w:p>
    <w:p w:rsidR="000021F2" w:rsidP="52635E7D" w:rsidRDefault="000021F2" w14:paraId="04C91AAE" w14:textId="455CA652">
      <w:pPr>
        <w:suppressLineNumbers/>
        <w:spacing w:before="240" w:after="240" w:line="312" w:lineRule="auto"/>
        <w:jc w:val="both"/>
        <w:rPr>
          <w:rFonts w:ascii="Cambria" w:hAnsi="Cambria" w:cs="Arial" w:asciiTheme="majorAscii" w:hAnsiTheme="majorAscii"/>
          <w:lang w:val="pt-BR"/>
        </w:rPr>
      </w:pPr>
      <w:r w:rsidRPr="52635E7D" w:rsidR="000021F2">
        <w:rPr>
          <w:rFonts w:ascii="Cambria" w:hAnsi="Cambria" w:cs="Arial" w:asciiTheme="majorAscii" w:hAnsiTheme="majorAscii"/>
          <w:lang w:val="pt-BR"/>
        </w:rPr>
        <w:t xml:space="preserve">Considerando que no Parecer técnico sobre proteção como patrimônio cultural do bem “Açude da Central”, existe o questionamento sobre o Açude da Central possuir uma proteção efetiva como patrimônio cultural, o que para a verificação da extrapolação das atividades profissionais, neste caso não interfere a analise, posto que </w:t>
      </w:r>
      <w:r w:rsidRPr="52635E7D" w:rsidR="65554C23">
        <w:rPr>
          <w:rFonts w:ascii="Cambria" w:hAnsi="Cambria" w:cs="Arial" w:asciiTheme="majorAscii" w:hAnsiTheme="majorAscii"/>
          <w:lang w:val="pt-BR"/>
        </w:rPr>
        <w:t>independentemente</w:t>
      </w:r>
      <w:r w:rsidRPr="52635E7D" w:rsidR="000021F2">
        <w:rPr>
          <w:rFonts w:ascii="Cambria" w:hAnsi="Cambria" w:cs="Arial" w:asciiTheme="majorAscii" w:hAnsiTheme="majorAscii"/>
          <w:lang w:val="pt-BR"/>
        </w:rPr>
        <w:t xml:space="preserve"> do local ser ou não protegido, </w:t>
      </w:r>
      <w:r w:rsidRPr="52635E7D" w:rsidR="00B73E8A">
        <w:rPr>
          <w:rFonts w:ascii="Cambria" w:hAnsi="Cambria" w:cs="Arial" w:asciiTheme="majorAscii" w:hAnsiTheme="majorAscii"/>
          <w:lang w:val="pt-BR"/>
        </w:rPr>
        <w:t>a analise espacial e de mudanças na paisagem não poderia</w:t>
      </w:r>
      <w:r w:rsidRPr="52635E7D" w:rsidR="3DFB57BE">
        <w:rPr>
          <w:rFonts w:ascii="Cambria" w:hAnsi="Cambria" w:cs="Arial" w:asciiTheme="majorAscii" w:hAnsiTheme="majorAscii"/>
          <w:lang w:val="pt-BR"/>
        </w:rPr>
        <w:t>m</w:t>
      </w:r>
      <w:r w:rsidRPr="52635E7D" w:rsidR="00B73E8A">
        <w:rPr>
          <w:rFonts w:ascii="Cambria" w:hAnsi="Cambria" w:cs="Arial" w:asciiTheme="majorAscii" w:hAnsiTheme="majorAscii"/>
          <w:lang w:val="pt-BR"/>
        </w:rPr>
        <w:t xml:space="preserve"> ser realizadas por historiador, visto que não pos</w:t>
      </w:r>
      <w:r w:rsidRPr="52635E7D" w:rsidR="1A4342B3">
        <w:rPr>
          <w:rFonts w:ascii="Cambria" w:hAnsi="Cambria" w:cs="Arial" w:asciiTheme="majorAscii" w:hAnsiTheme="majorAscii"/>
          <w:lang w:val="pt-BR"/>
        </w:rPr>
        <w:t>sui</w:t>
      </w:r>
      <w:r w:rsidRPr="52635E7D" w:rsidR="00B73E8A">
        <w:rPr>
          <w:rFonts w:ascii="Cambria" w:hAnsi="Cambria" w:cs="Arial" w:asciiTheme="majorAscii" w:hAnsiTheme="majorAscii"/>
          <w:lang w:val="pt-BR"/>
        </w:rPr>
        <w:t xml:space="preserve"> conhecimentos técnicos para emissão de </w:t>
      </w:r>
      <w:r w:rsidRPr="52635E7D" w:rsidR="00B73E8A">
        <w:rPr>
          <w:rFonts w:ascii="Cambria" w:hAnsi="Cambria" w:cs="Arial" w:asciiTheme="majorAscii" w:hAnsiTheme="majorAscii"/>
          <w:lang w:val="pt-BR"/>
        </w:rPr>
        <w:t>pareceres técnicos sobre estas situações.</w:t>
      </w:r>
    </w:p>
    <w:p w:rsidR="00CF7F8F" w:rsidP="52635E7D" w:rsidRDefault="008E50F3" w14:paraId="4CB3DE6B" w14:textId="397BB98D">
      <w:pPr>
        <w:suppressLineNumbers/>
        <w:spacing w:before="240" w:after="240" w:line="312" w:lineRule="auto"/>
        <w:jc w:val="both"/>
        <w:rPr>
          <w:rFonts w:ascii="Cambria" w:hAnsi="Cambria" w:cs="Arial" w:asciiTheme="majorAscii" w:hAnsiTheme="majorAscii"/>
          <w:lang w:val="pt-BR"/>
        </w:rPr>
      </w:pPr>
      <w:r w:rsidRPr="52635E7D" w:rsidR="008E50F3">
        <w:rPr>
          <w:rFonts w:ascii="Cambria" w:hAnsi="Cambria" w:cs="Arial" w:asciiTheme="majorAscii" w:hAnsiTheme="majorAscii"/>
          <w:lang w:val="pt-BR"/>
        </w:rPr>
        <w:t>Considerando que o Laudo técnico de vistoria estado de conservação do bem Açude da Central, foi elaborado e assinado pelo arquiteto e urbanista Claudio Abreu Arroyo</w:t>
      </w:r>
      <w:r w:rsidRPr="52635E7D" w:rsidR="00DE02CB">
        <w:rPr>
          <w:rFonts w:ascii="Cambria" w:hAnsi="Cambria" w:cs="Arial" w:asciiTheme="majorAscii" w:hAnsiTheme="majorAscii"/>
          <w:lang w:val="pt-BR"/>
        </w:rPr>
        <w:t xml:space="preserve">, </w:t>
      </w:r>
      <w:r w:rsidRPr="52635E7D" w:rsidR="7C95A0D7">
        <w:rPr>
          <w:rFonts w:ascii="Cambria" w:hAnsi="Cambria" w:cs="Arial" w:asciiTheme="majorAscii" w:hAnsiTheme="majorAscii"/>
          <w:lang w:val="pt-BR"/>
        </w:rPr>
        <w:t>e</w:t>
      </w:r>
      <w:r w:rsidRPr="52635E7D" w:rsidR="00CF7F8F">
        <w:rPr>
          <w:rFonts w:ascii="Cambria" w:hAnsi="Cambria" w:cs="Arial" w:asciiTheme="majorAscii" w:hAnsiTheme="majorAscii"/>
          <w:lang w:val="pt-BR"/>
        </w:rPr>
        <w:t xml:space="preserve"> que conforme RRT, sua atividade se limitou a análise do </w:t>
      </w:r>
      <w:r w:rsidRPr="52635E7D" w:rsidR="00CF7F8F">
        <w:rPr>
          <w:rFonts w:ascii="Cambria" w:hAnsi="Cambria" w:eastAsia="Cambria" w:cs="Cambria"/>
          <w:lang w:val="pt-BR"/>
        </w:rPr>
        <w:t>estado de conservação do Açude da Central, não sendo tratado por este profissional das questões das relações espaciais e mudanças na paisagem local</w:t>
      </w:r>
      <w:r w:rsidRPr="52635E7D" w:rsidR="00CF7F8F">
        <w:rPr>
          <w:rFonts w:ascii="Cambria" w:hAnsi="Cambria" w:eastAsia="Cambria" w:cs="Cambria"/>
          <w:lang w:val="pt-BR"/>
        </w:rPr>
        <w:t xml:space="preserve">. E </w:t>
      </w:r>
      <w:r w:rsidRPr="52635E7D" w:rsidR="58EDAC42">
        <w:rPr>
          <w:rFonts w:ascii="Cambria" w:hAnsi="Cambria" w:eastAsia="Cambria" w:cs="Cambria"/>
          <w:lang w:val="pt-BR"/>
        </w:rPr>
        <w:t>considerando</w:t>
      </w:r>
      <w:r w:rsidRPr="52635E7D" w:rsidR="00CF7F8F">
        <w:rPr>
          <w:rFonts w:ascii="Cambria" w:hAnsi="Cambria" w:eastAsia="Cambria" w:cs="Cambria"/>
          <w:lang w:val="pt-BR"/>
        </w:rPr>
        <w:t xml:space="preserve"> que este profissional não assinou o Parecer técnico sobre proteção como patrimônio cultural do bem “Açude da Central”, em conjunto com </w:t>
      </w:r>
      <w:r w:rsidRPr="52635E7D" w:rsidR="006018CE">
        <w:rPr>
          <w:rFonts w:ascii="Cambria" w:hAnsi="Cambria" w:eastAsia="Cambria" w:cs="Cambria"/>
          <w:lang w:val="pt-BR"/>
        </w:rPr>
        <w:t xml:space="preserve">a historiadora, o que lhe atribuiria as </w:t>
      </w:r>
      <w:r w:rsidRPr="52635E7D" w:rsidR="00CE6D68">
        <w:rPr>
          <w:rFonts w:ascii="Cambria" w:hAnsi="Cambria" w:eastAsia="Cambria" w:cs="Cambria"/>
          <w:lang w:val="pt-BR"/>
        </w:rPr>
        <w:t>análises</w:t>
      </w:r>
      <w:r w:rsidRPr="52635E7D" w:rsidR="006018CE">
        <w:rPr>
          <w:rFonts w:ascii="Cambria" w:hAnsi="Cambria" w:eastAsia="Cambria" w:cs="Cambria"/>
          <w:lang w:val="pt-BR"/>
        </w:rPr>
        <w:t xml:space="preserve"> da paisagem.</w:t>
      </w:r>
      <w:r w:rsidRPr="52635E7D" w:rsidR="006018CE">
        <w:rPr>
          <w:rFonts w:ascii="Cambria" w:hAnsi="Cambria" w:eastAsia="Cambria" w:cs="Cambria"/>
          <w:lang w:val="pt-BR"/>
        </w:rPr>
        <w:t xml:space="preserve"> </w:t>
      </w:r>
    </w:p>
    <w:p w:rsidR="007367E5" w:rsidP="007367E5" w:rsidRDefault="007367E5" w14:paraId="2A8FBAEC" w14:textId="0783EFF0">
      <w:pPr>
        <w:widowControl/>
        <w:suppressLineNumbers/>
        <w:spacing w:line="276" w:lineRule="auto"/>
        <w:jc w:val="both"/>
        <w:rPr>
          <w:rFonts w:cs="Times New Roman" w:asciiTheme="majorHAnsi" w:hAnsiTheme="majorHAnsi"/>
          <w:b/>
          <w:sz w:val="21"/>
          <w:szCs w:val="21"/>
          <w:lang w:val="pt-BR"/>
        </w:rPr>
      </w:pPr>
      <w:r w:rsidRPr="00B21808">
        <w:rPr>
          <w:rFonts w:cs="Times New Roman" w:asciiTheme="majorHAnsi" w:hAnsiTheme="majorHAnsi"/>
          <w:b/>
          <w:sz w:val="21"/>
          <w:szCs w:val="21"/>
          <w:lang w:val="pt-BR"/>
        </w:rPr>
        <w:t>DELIBEROU</w:t>
      </w:r>
    </w:p>
    <w:p w:rsidRPr="00B21808" w:rsidR="00D917A6" w:rsidP="007367E5" w:rsidRDefault="00D917A6" w14:paraId="6B98835B" w14:textId="77777777">
      <w:pPr>
        <w:widowControl/>
        <w:suppressLineNumbers/>
        <w:spacing w:line="276" w:lineRule="auto"/>
        <w:jc w:val="both"/>
        <w:rPr>
          <w:rFonts w:cs="Times New Roman" w:asciiTheme="majorHAnsi" w:hAnsiTheme="majorHAnsi"/>
          <w:b/>
          <w:sz w:val="21"/>
          <w:szCs w:val="21"/>
          <w:lang w:val="pt-BR"/>
        </w:rPr>
      </w:pPr>
    </w:p>
    <w:p w:rsidRPr="00BF7447" w:rsidR="00CE6D68" w:rsidP="46BDD042" w:rsidRDefault="00E50494" w14:paraId="2E7EEF3F" w14:textId="61B0DD59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="Cambria" w:hAnsi="Cambria" w:cs="Times New Roman" w:asciiTheme="majorAscii" w:hAnsiTheme="majorAscii"/>
          <w:sz w:val="21"/>
          <w:szCs w:val="21"/>
          <w:lang w:val="pt-BR"/>
        </w:rPr>
      </w:pPr>
      <w:r w:rsidRPr="46BDD042" w:rsidR="00E50494">
        <w:rPr>
          <w:rFonts w:ascii="Cambria" w:hAnsi="Cambria" w:cs="Times New Roman" w:asciiTheme="majorAscii" w:hAnsiTheme="majorAscii"/>
          <w:sz w:val="21"/>
          <w:szCs w:val="21"/>
          <w:lang w:val="pt-BR"/>
        </w:rPr>
        <w:t xml:space="preserve">Informar ao solicitante que </w:t>
      </w:r>
      <w:r w:rsidRPr="46BDD042" w:rsidR="00CE6D68">
        <w:rPr>
          <w:rFonts w:ascii="Cambria" w:hAnsi="Cambria" w:cs="Times New Roman" w:asciiTheme="majorAscii" w:hAnsiTheme="majorAscii"/>
          <w:sz w:val="21"/>
          <w:szCs w:val="21"/>
          <w:lang w:val="pt-BR"/>
        </w:rPr>
        <w:t xml:space="preserve">as </w:t>
      </w:r>
      <w:r w:rsidRPr="46BDD042" w:rsidR="00BF7447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>análises</w:t>
      </w:r>
      <w:r w:rsidRPr="46BDD042" w:rsidR="00CE6D68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 xml:space="preserve"> </w:t>
      </w:r>
      <w:r w:rsidRPr="46BDD042" w:rsidR="00BF7447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 xml:space="preserve">técnicas </w:t>
      </w:r>
      <w:r w:rsidRPr="46BDD042" w:rsidR="00CE6D68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 xml:space="preserve">de relação especial e de interferências na paisagem </w:t>
      </w:r>
      <w:r w:rsidRPr="46BDD042" w:rsidR="3CD325FD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>não</w:t>
      </w:r>
      <w:r w:rsidRPr="46BDD042" w:rsidR="00CE6D68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 xml:space="preserve"> </w:t>
      </w:r>
      <w:r w:rsidRPr="46BDD042" w:rsidR="00BF7447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>se encontram nas atribuições dos historiadores</w:t>
      </w:r>
      <w:r w:rsidRPr="46BDD042" w:rsidR="00BF7447">
        <w:rPr>
          <w:rFonts w:ascii="Cambria" w:hAnsi="Cambria" w:cs="Times New Roman" w:asciiTheme="majorAscii" w:hAnsiTheme="majorAscii"/>
          <w:sz w:val="21"/>
          <w:szCs w:val="21"/>
          <w:lang w:val="pt-BR"/>
        </w:rPr>
        <w:t xml:space="preserve">, conforme dispõe o inciso VI, artigo 4, Lei Federal nº 14.038/2020, que limita a atuação dos historiadores na elaboração de pareceres sobre temas históricos. E que estas </w:t>
      </w:r>
      <w:r w:rsidRPr="46BDD042" w:rsidR="00BF7447">
        <w:rPr>
          <w:rFonts w:ascii="Cambria" w:hAnsi="Cambria" w:cs="Times New Roman" w:asciiTheme="majorAscii" w:hAnsiTheme="majorAscii"/>
          <w:b w:val="1"/>
          <w:bCs w:val="1"/>
          <w:sz w:val="21"/>
          <w:szCs w:val="21"/>
          <w:lang w:val="pt-BR"/>
        </w:rPr>
        <w:t>análises de relação especial e de interferências na paisagem fazem parte do rol de atividades técnicas do arquiteto e urbanista</w:t>
      </w:r>
      <w:r w:rsidRPr="46BDD042" w:rsidR="00BF7447">
        <w:rPr>
          <w:rFonts w:ascii="Cambria" w:hAnsi="Cambria" w:cs="Times New Roman" w:asciiTheme="majorAscii" w:hAnsiTheme="majorAscii"/>
          <w:sz w:val="21"/>
          <w:szCs w:val="21"/>
          <w:lang w:val="pt-BR"/>
        </w:rPr>
        <w:t>, conforme Artigo 2° da Lei Federal n° 12.378/2010.</w:t>
      </w:r>
    </w:p>
    <w:p w:rsidRPr="001F0450" w:rsidR="00CE6D68" w:rsidP="00DA4263" w:rsidRDefault="00F7384D" w14:paraId="46216ADE" w14:textId="22DA97FD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cs="Times New Roman" w:asciiTheme="majorHAnsi" w:hAnsiTheme="majorHAnsi"/>
          <w:sz w:val="21"/>
          <w:szCs w:val="21"/>
          <w:lang w:val="pt-BR"/>
        </w:rPr>
      </w:pPr>
      <w:r w:rsidRPr="001F0450">
        <w:rPr>
          <w:rFonts w:cs="Times New Roman" w:asciiTheme="majorHAnsi" w:hAnsiTheme="majorHAnsi"/>
          <w:sz w:val="21"/>
          <w:szCs w:val="21"/>
          <w:lang w:val="pt-BR"/>
        </w:rPr>
        <w:t>Encaminhar esta Deliberação e os documentos enviados pelo solicitante para o Setor de fiscalização para abertura de processo fiscalizatório e demais providências.</w:t>
      </w:r>
    </w:p>
    <w:p w:rsidR="00AB4334" w:rsidP="00513883" w:rsidRDefault="007367E5" w14:paraId="6E2A5BA3" w14:textId="350419F5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cs="Times New Roman" w:asciiTheme="majorHAnsi" w:hAnsiTheme="majorHAnsi"/>
          <w:sz w:val="21"/>
          <w:szCs w:val="21"/>
          <w:lang w:val="pt-BR"/>
        </w:rPr>
      </w:pPr>
      <w:r w:rsidRPr="00B21808">
        <w:rPr>
          <w:rFonts w:cs="Times New Roman" w:asciiTheme="majorHAnsi" w:hAnsiTheme="majorHAnsi"/>
          <w:sz w:val="21"/>
          <w:szCs w:val="21"/>
          <w:lang w:val="pt-BR"/>
        </w:rPr>
        <w:t>Encaminhar esta Deliberação à Presidência do CAU/MG, para conhecimento e remessa ao Setor Técnico, especificamente, Setor de Acervo Técnico do CAU/MG, para conhecimento e providências.</w:t>
      </w:r>
    </w:p>
    <w:p w:rsidRPr="001F0450" w:rsidR="001F0450" w:rsidP="001F0450" w:rsidRDefault="001F0450" w14:paraId="7964A4F1" w14:textId="77777777">
      <w:pPr>
        <w:pStyle w:val="PargrafodaLista"/>
        <w:suppressAutoHyphens w:val="0"/>
        <w:spacing w:line="276" w:lineRule="auto"/>
        <w:ind w:left="720"/>
        <w:rPr>
          <w:rFonts w:cs="Times New Roman" w:asciiTheme="majorHAnsi" w:hAnsiTheme="majorHAnsi"/>
          <w:sz w:val="21"/>
          <w:szCs w:val="21"/>
          <w:lang w:val="pt-BR"/>
        </w:rPr>
      </w:pPr>
    </w:p>
    <w:p w:rsidRPr="001B30C0" w:rsidR="001F0450" w:rsidP="001F0450" w:rsidRDefault="001F0450" w14:paraId="7D257C1B" w14:textId="720D8425">
      <w:pPr>
        <w:pStyle w:val="PargrafodaLista"/>
        <w:spacing w:before="240" w:after="240" w:line="360" w:lineRule="auto"/>
        <w:ind w:left="714"/>
        <w:rPr>
          <w:rFonts w:cs="Arial" w:asciiTheme="majorHAnsi" w:hAnsiTheme="majorHAnsi"/>
          <w:lang w:val="pt-BR"/>
        </w:rPr>
      </w:pPr>
      <w:r>
        <w:rPr>
          <w:rFonts w:cs="Times New Roman" w:asciiTheme="majorHAnsi" w:hAnsiTheme="majorHAnsi"/>
          <w:lang w:val="pt-BR"/>
        </w:rPr>
        <w:t xml:space="preserve">                                                                                                                         </w:t>
      </w:r>
      <w:r w:rsidRPr="001B30C0">
        <w:rPr>
          <w:rFonts w:cs="Times New Roman" w:asciiTheme="majorHAnsi" w:hAnsiTheme="majorHAnsi"/>
          <w:lang w:val="pt-BR"/>
        </w:rPr>
        <w:t>Belo Horizonte, 19 de junho de 2023.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Pr="0000345C" w:rsidR="001F0450" w:rsidTr="000564E4" w14:paraId="0105C8A8" w14:textId="77777777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:rsidRPr="0000345C" w:rsidR="001F0450" w:rsidP="000564E4" w:rsidRDefault="001F0450" w14:paraId="22170056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:rsidRPr="0000345C" w:rsidR="001F0450" w:rsidP="000564E4" w:rsidRDefault="001F0450" w14:paraId="6774A5B4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Pr="0000345C" w:rsidR="001F0450" w:rsidTr="000564E4" w14:paraId="41DE5A4B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:rsidRPr="0000345C" w:rsidR="001F0450" w:rsidP="000564E4" w:rsidRDefault="001F0450" w14:paraId="55EF7579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Pr="0000345C" w:rsidR="001F0450" w:rsidP="000564E4" w:rsidRDefault="001F0450" w14:paraId="5E7A95BF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Pr="0000345C" w:rsidR="001F0450" w:rsidP="000564E4" w:rsidRDefault="001F0450" w14:paraId="1FCFB02F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Pr="0000345C" w:rsidR="001F0450" w:rsidP="000564E4" w:rsidRDefault="001F0450" w14:paraId="7DA6AED9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Pr="0000345C" w:rsidR="001F0450" w:rsidP="000564E4" w:rsidRDefault="001F0450" w14:paraId="7E8EA860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Pr="0000345C" w:rsidR="001F0450" w:rsidTr="000564E4" w14:paraId="792DDD81" w14:textId="77777777">
        <w:trPr>
          <w:trHeight w:val="337"/>
        </w:trPr>
        <w:tc>
          <w:tcPr>
            <w:tcW w:w="5076" w:type="dxa"/>
            <w:vAlign w:val="center"/>
          </w:tcPr>
          <w:p w:rsidRPr="0000345C" w:rsidR="001F0450" w:rsidP="000564E4" w:rsidRDefault="001F0450" w14:paraId="0A3ACCFC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cs="Times New Roman" w:asciiTheme="majorHAnsi" w:hAnsiTheme="majorHAnsi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0CD69BF1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20292F77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670EA392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37A612D9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00345C" w:rsidR="001F0450" w:rsidTr="000564E4" w14:paraId="7668CC3F" w14:textId="77777777">
        <w:trPr>
          <w:trHeight w:val="337"/>
        </w:trPr>
        <w:tc>
          <w:tcPr>
            <w:tcW w:w="5076" w:type="dxa"/>
            <w:vAlign w:val="center"/>
          </w:tcPr>
          <w:p w:rsidRPr="00B64DA3" w:rsidR="001F0450" w:rsidP="000564E4" w:rsidRDefault="001F0450" w14:paraId="6F97936C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:rsidRPr="0000345C" w:rsidR="001F0450" w:rsidP="000564E4" w:rsidRDefault="001F0450" w14:paraId="24FF964A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7C3558B1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259866E7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62B07545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268FD19A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00345C" w:rsidR="001F0450" w:rsidTr="000564E4" w14:paraId="1FAD1BD0" w14:textId="77777777">
        <w:trPr>
          <w:trHeight w:val="337"/>
        </w:trPr>
        <w:tc>
          <w:tcPr>
            <w:tcW w:w="5076" w:type="dxa"/>
            <w:vAlign w:val="center"/>
          </w:tcPr>
          <w:p w:rsidRPr="00B64DA3" w:rsidR="001F0450" w:rsidP="000564E4" w:rsidRDefault="001F0450" w14:paraId="2D707BC8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:rsidRPr="0000345C" w:rsidR="001F0450" w:rsidP="000564E4" w:rsidRDefault="001F0450" w14:paraId="4F497AE7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50FCC230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0BB29637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5D39693C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7E8717E8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00345C" w:rsidR="001F0450" w:rsidTr="000564E4" w14:paraId="12046DA8" w14:textId="77777777">
        <w:trPr>
          <w:trHeight w:val="337"/>
        </w:trPr>
        <w:tc>
          <w:tcPr>
            <w:tcW w:w="5076" w:type="dxa"/>
            <w:vAlign w:val="center"/>
          </w:tcPr>
          <w:p w:rsidRPr="00B64DA3" w:rsidR="001F0450" w:rsidP="000564E4" w:rsidRDefault="001F0450" w14:paraId="4F10D034" w14:textId="77777777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:rsidRPr="0000345C" w:rsidR="001F0450" w:rsidP="000564E4" w:rsidRDefault="001F0450" w14:paraId="53104C55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334D32DE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33A54E42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67B80B1F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1A8F999A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00345C" w:rsidR="001F0450" w:rsidTr="000564E4" w14:paraId="1EE67295" w14:textId="77777777">
        <w:trPr>
          <w:trHeight w:val="337"/>
        </w:trPr>
        <w:tc>
          <w:tcPr>
            <w:tcW w:w="5076" w:type="dxa"/>
            <w:vAlign w:val="center"/>
          </w:tcPr>
          <w:p w:rsidRPr="00B64DA3" w:rsidR="001F0450" w:rsidP="000564E4" w:rsidRDefault="001F0450" w14:paraId="4EEF8F29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:rsidRPr="0000345C" w:rsidR="001F0450" w:rsidP="000564E4" w:rsidRDefault="001F0450" w14:paraId="5753FC86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4C0B7858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6F14B5BC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088CF179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22187252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00345C" w:rsidR="001F0450" w:rsidTr="000564E4" w14:paraId="48F3A15F" w14:textId="77777777">
        <w:trPr>
          <w:trHeight w:val="337"/>
        </w:trPr>
        <w:tc>
          <w:tcPr>
            <w:tcW w:w="5076" w:type="dxa"/>
            <w:vAlign w:val="center"/>
          </w:tcPr>
          <w:p w:rsidRPr="00B64DA3" w:rsidR="001F0450" w:rsidP="000564E4" w:rsidRDefault="001F0450" w14:paraId="09C679DA" w14:textId="77777777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:rsidRPr="0000345C" w:rsidR="001F0450" w:rsidP="000564E4" w:rsidRDefault="001F0450" w14:paraId="1E3D4AC2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3069AE8C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Pr="0000345C" w:rsidR="001F0450" w:rsidP="000564E4" w:rsidRDefault="001F0450" w14:paraId="615A01EE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:rsidRPr="0000345C" w:rsidR="001F0450" w:rsidP="000564E4" w:rsidRDefault="001F0450" w14:paraId="5508F5D4" w14:textId="7777777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:rsidRPr="0000345C" w:rsidR="001F0450" w:rsidP="000564E4" w:rsidRDefault="001F0450" w14:paraId="53CBB535" w14:textId="7777777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:rsidRPr="00D77D24" w:rsidR="001F0450" w:rsidP="001F0450" w:rsidRDefault="001F0450" w14:paraId="4CF511B9" w14:textId="77777777">
      <w:pPr>
        <w:pStyle w:val="PargrafodaLista"/>
        <w:spacing w:line="276" w:lineRule="auto"/>
        <w:ind w:left="720"/>
        <w:rPr>
          <w:rFonts w:asciiTheme="majorHAnsi" w:hAnsiTheme="majorHAnsi"/>
          <w:sz w:val="20"/>
          <w:lang w:val="pt-BR"/>
        </w:rPr>
      </w:pPr>
    </w:p>
    <w:p w:rsidRPr="00843CEE" w:rsidR="001F0450" w:rsidP="001F0450" w:rsidRDefault="001F0450" w14:paraId="70B5B93A" w14:textId="77777777">
      <w:pPr>
        <w:spacing w:line="276" w:lineRule="auto"/>
        <w:jc w:val="center"/>
        <w:rPr>
          <w:rFonts w:cs="Arial" w:asciiTheme="majorHAnsi" w:hAnsiTheme="majorHAnsi"/>
          <w:sz w:val="20"/>
          <w:lang w:val="pt-BR" w:eastAsia="pt-BR"/>
        </w:rPr>
      </w:pPr>
      <w:r w:rsidRPr="00843CEE">
        <w:rPr>
          <w:rFonts w:cs="Arial" w:asciiTheme="majorHAnsi" w:hAnsiTheme="majorHAnsi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cs="Arial" w:asciiTheme="majorHAnsi" w:hAnsiTheme="majorHAnsi"/>
          <w:sz w:val="20"/>
          <w:lang w:val="pt-BR" w:eastAsia="pt-BR"/>
        </w:rPr>
        <w:t xml:space="preserve"> Comissão de Exercício Profissional.</w:t>
      </w:r>
    </w:p>
    <w:p w:rsidRPr="00843CEE" w:rsidR="001F0450" w:rsidP="001F0450" w:rsidRDefault="001F0450" w14:paraId="068FC9CE" w14:textId="77777777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:rsidRPr="00843CEE" w:rsidR="001F0450" w:rsidP="001F0450" w:rsidRDefault="001F0450" w14:paraId="3589B941" w14:textId="77777777">
      <w:pPr>
        <w:spacing w:line="276" w:lineRule="auto"/>
        <w:rPr>
          <w:rFonts w:asciiTheme="majorHAnsi" w:hAnsiTheme="majorHAnsi"/>
          <w:sz w:val="20"/>
          <w:lang w:val="pt-BR"/>
        </w:rPr>
      </w:pPr>
    </w:p>
    <w:p w:rsidRPr="00843CEE" w:rsidR="001F0450" w:rsidP="001F0450" w:rsidRDefault="001F0450" w14:paraId="7F94C7CE" w14:textId="77777777">
      <w:pPr>
        <w:spacing w:line="276" w:lineRule="auto"/>
        <w:jc w:val="center"/>
        <w:rPr>
          <w:rFonts w:cs="Arial" w:asciiTheme="majorHAnsi" w:hAnsiTheme="majorHAnsi"/>
          <w:iCs/>
          <w:sz w:val="20"/>
          <w:lang w:val="pt-BR" w:eastAsia="pt-BR"/>
        </w:rPr>
      </w:pPr>
    </w:p>
    <w:p w:rsidRPr="00843CEE" w:rsidR="001F0450" w:rsidP="001F0450" w:rsidRDefault="001F0450" w14:paraId="09C217D6" w14:textId="77777777">
      <w:pPr>
        <w:spacing w:line="276" w:lineRule="auto"/>
        <w:jc w:val="center"/>
        <w:rPr>
          <w:rFonts w:cs="Arial" w:asciiTheme="majorHAnsi" w:hAnsiTheme="majorHAnsi"/>
          <w:sz w:val="20"/>
          <w:lang w:val="pt-BR" w:eastAsia="pt-BR"/>
        </w:rPr>
      </w:pPr>
      <w:r w:rsidRPr="00843CEE">
        <w:rPr>
          <w:rFonts w:cs="Arial" w:asciiTheme="majorHAnsi" w:hAnsiTheme="majorHAnsi"/>
          <w:sz w:val="20"/>
          <w:lang w:val="pt-BR" w:eastAsia="pt-BR"/>
        </w:rPr>
        <w:t>_________________________________________________________________________________</w:t>
      </w:r>
    </w:p>
    <w:p w:rsidRPr="00B64DA3" w:rsidR="001F0450" w:rsidP="001F0450" w:rsidRDefault="001F0450" w14:paraId="761912BA" w14:textId="77777777">
      <w:pPr>
        <w:spacing w:line="276" w:lineRule="auto"/>
        <w:jc w:val="center"/>
        <w:rPr>
          <w:rFonts w:cs="Times New Roman" w:asciiTheme="majorHAnsi" w:hAnsiTheme="majorHAnsi"/>
          <w:b/>
          <w:sz w:val="20"/>
          <w:lang w:val="pt-BR"/>
        </w:rPr>
      </w:pPr>
      <w:r>
        <w:rPr>
          <w:rFonts w:cs="Times New Roman" w:asciiTheme="majorHAnsi" w:hAnsiTheme="majorHAnsi"/>
          <w:b/>
          <w:sz w:val="20"/>
          <w:lang w:val="pt-BR"/>
        </w:rPr>
        <w:t>A</w:t>
      </w:r>
      <w:r w:rsidRPr="00B64DA3">
        <w:rPr>
          <w:rFonts w:cs="Times New Roman" w:asciiTheme="majorHAnsi" w:hAnsiTheme="majorHAnsi"/>
          <w:b/>
          <w:sz w:val="20"/>
          <w:lang w:val="pt-BR"/>
        </w:rPr>
        <w:t>demir Nogueira De Ávila</w:t>
      </w:r>
    </w:p>
    <w:p w:rsidRPr="00B64DA3" w:rsidR="001F0450" w:rsidP="001F0450" w:rsidRDefault="001F0450" w14:paraId="3AF06D4B" w14:textId="77777777">
      <w:pPr>
        <w:spacing w:line="276" w:lineRule="auto"/>
        <w:jc w:val="center"/>
        <w:rPr>
          <w:rFonts w:cs="Times New Roman" w:asciiTheme="majorHAnsi" w:hAnsiTheme="majorHAnsi"/>
          <w:bCs/>
          <w:sz w:val="20"/>
          <w:lang w:val="pt-BR"/>
        </w:rPr>
      </w:pPr>
      <w:r w:rsidRPr="00B64DA3">
        <w:rPr>
          <w:rFonts w:cs="Times New Roman" w:asciiTheme="majorHAnsi" w:hAnsiTheme="majorHAnsi"/>
          <w:bCs/>
          <w:sz w:val="20"/>
          <w:lang w:val="pt-BR"/>
        </w:rPr>
        <w:t>Arquiteto e Urbanista – Coordenador</w:t>
      </w:r>
    </w:p>
    <w:p w:rsidR="001F0450" w:rsidP="001F0450" w:rsidRDefault="001F0450" w14:paraId="349DBCAD" w14:textId="77777777">
      <w:pPr>
        <w:spacing w:line="276" w:lineRule="auto"/>
        <w:jc w:val="center"/>
        <w:rPr>
          <w:rFonts w:cs="Times New Roman" w:asciiTheme="majorHAnsi" w:hAnsiTheme="majorHAnsi"/>
          <w:bCs/>
          <w:sz w:val="20"/>
          <w:lang w:val="pt-BR"/>
        </w:rPr>
      </w:pPr>
      <w:r w:rsidRPr="00B64DA3">
        <w:rPr>
          <w:rFonts w:cs="Times New Roman" w:asciiTheme="majorHAnsi" w:hAnsiTheme="majorHAnsi"/>
          <w:bCs/>
          <w:sz w:val="20"/>
          <w:lang w:val="pt-BR"/>
        </w:rPr>
        <w:t>Comissão de Exercício Profissional – CEP-CAU/MG</w:t>
      </w:r>
    </w:p>
    <w:p w:rsidR="001F0450" w:rsidP="001F0450" w:rsidRDefault="001F0450" w14:paraId="225BF7F0" w14:textId="77777777">
      <w:pPr>
        <w:spacing w:line="276" w:lineRule="auto"/>
        <w:jc w:val="center"/>
        <w:rPr>
          <w:rFonts w:cs="Times New Roman" w:asciiTheme="majorHAnsi" w:hAnsiTheme="majorHAnsi"/>
          <w:bCs/>
          <w:sz w:val="20"/>
          <w:lang w:val="pt-BR"/>
        </w:rPr>
      </w:pPr>
    </w:p>
    <w:p w:rsidRPr="00B64DA3" w:rsidR="001F0450" w:rsidP="001F0450" w:rsidRDefault="001F0450" w14:paraId="3D4389C7" w14:textId="77777777">
      <w:pPr>
        <w:spacing w:line="276" w:lineRule="auto"/>
        <w:jc w:val="center"/>
        <w:rPr>
          <w:rFonts w:cs="Arial" w:asciiTheme="majorHAnsi" w:hAnsiTheme="majorHAnsi"/>
          <w:bCs/>
          <w:sz w:val="20"/>
          <w:lang w:val="pt-BR" w:eastAsia="pt-BR"/>
        </w:rPr>
      </w:pPr>
    </w:p>
    <w:p w:rsidRPr="00843CEE" w:rsidR="001F0450" w:rsidP="001F0450" w:rsidRDefault="001F0450" w14:paraId="63097E18" w14:textId="77777777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:rsidRPr="00843CEE" w:rsidR="001F0450" w:rsidP="001F0450" w:rsidRDefault="001F0450" w14:paraId="7E3740A6" w14:textId="77777777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:rsidRPr="00843CEE" w:rsidR="001F0450" w:rsidP="001F0450" w:rsidRDefault="001F0450" w14:paraId="28B809A8" w14:textId="77777777">
      <w:pPr>
        <w:spacing w:line="276" w:lineRule="auto"/>
        <w:jc w:val="center"/>
        <w:rPr>
          <w:rFonts w:cs="Arial" w:asciiTheme="majorHAnsi" w:hAnsiTheme="majorHAnsi"/>
          <w:sz w:val="20"/>
          <w:lang w:val="pt-BR" w:eastAsia="pt-BR"/>
        </w:rPr>
      </w:pPr>
      <w:r w:rsidRPr="00843CEE">
        <w:rPr>
          <w:rFonts w:cs="Arial" w:asciiTheme="majorHAnsi" w:hAnsiTheme="majorHAnsi"/>
          <w:sz w:val="20"/>
          <w:lang w:val="pt-BR" w:eastAsia="pt-BR"/>
        </w:rPr>
        <w:t>_________________________________________________________________________________</w:t>
      </w:r>
    </w:p>
    <w:p w:rsidRPr="00843CEE" w:rsidR="001F0450" w:rsidP="001F0450" w:rsidRDefault="001F0450" w14:paraId="3757347E" w14:textId="77777777">
      <w:pPr>
        <w:spacing w:line="276" w:lineRule="auto"/>
        <w:jc w:val="center"/>
        <w:rPr>
          <w:rFonts w:cs="Times New Roman" w:asciiTheme="majorHAnsi" w:hAnsiTheme="majorHAnsi"/>
          <w:b/>
          <w:sz w:val="20"/>
          <w:lang w:val="pt-BR"/>
        </w:rPr>
      </w:pPr>
      <w:r>
        <w:rPr>
          <w:rFonts w:cs="Times New Roman" w:asciiTheme="majorHAnsi" w:hAnsiTheme="majorHAnsi"/>
          <w:b/>
          <w:sz w:val="20"/>
          <w:lang w:val="pt-BR"/>
        </w:rPr>
        <w:t>Daniella Viana Rezende</w:t>
      </w:r>
    </w:p>
    <w:p w:rsidRPr="00843CEE" w:rsidR="001F0450" w:rsidP="001F0450" w:rsidRDefault="001F0450" w14:paraId="2785A409" w14:textId="77777777">
      <w:pPr>
        <w:spacing w:line="276" w:lineRule="auto"/>
        <w:jc w:val="center"/>
        <w:rPr>
          <w:rFonts w:cs="Arial" w:asciiTheme="majorHAnsi" w:hAnsiTheme="majorHAnsi"/>
          <w:sz w:val="20"/>
          <w:lang w:val="pt-BR" w:eastAsia="pt-BR"/>
        </w:rPr>
      </w:pPr>
      <w:r w:rsidRPr="00843CEE">
        <w:rPr>
          <w:rFonts w:cs="Arial" w:asciiTheme="majorHAnsi" w:hAnsiTheme="majorHAnsi"/>
          <w:sz w:val="20"/>
          <w:lang w:val="pt-BR" w:eastAsia="pt-BR"/>
        </w:rPr>
        <w:t>Arquitet</w:t>
      </w:r>
      <w:r>
        <w:rPr>
          <w:rFonts w:cs="Arial" w:asciiTheme="majorHAnsi" w:hAnsiTheme="majorHAnsi"/>
          <w:sz w:val="20"/>
          <w:lang w:val="pt-BR" w:eastAsia="pt-BR"/>
        </w:rPr>
        <w:t>a e</w:t>
      </w:r>
      <w:r w:rsidRPr="00843CEE">
        <w:rPr>
          <w:rFonts w:cs="Arial" w:asciiTheme="majorHAnsi" w:hAnsiTheme="majorHAnsi"/>
          <w:sz w:val="20"/>
          <w:lang w:val="pt-BR" w:eastAsia="pt-BR"/>
        </w:rPr>
        <w:t xml:space="preserve"> </w:t>
      </w:r>
      <w:r>
        <w:rPr>
          <w:rFonts w:cs="Arial" w:asciiTheme="majorHAnsi" w:hAnsiTheme="majorHAnsi"/>
          <w:sz w:val="20"/>
          <w:lang w:val="pt-BR" w:eastAsia="pt-BR"/>
        </w:rPr>
        <w:t>Urbanista</w:t>
      </w:r>
      <w:r w:rsidRPr="00843CEE">
        <w:rPr>
          <w:rFonts w:cs="Arial" w:asciiTheme="majorHAnsi" w:hAnsiTheme="majorHAnsi"/>
          <w:sz w:val="20"/>
          <w:lang w:val="pt-BR" w:eastAsia="pt-BR"/>
        </w:rPr>
        <w:t xml:space="preserve"> – Assessor</w:t>
      </w:r>
      <w:r>
        <w:rPr>
          <w:rFonts w:cs="Arial" w:asciiTheme="majorHAnsi" w:hAnsiTheme="majorHAnsi"/>
          <w:sz w:val="20"/>
          <w:lang w:val="pt-BR" w:eastAsia="pt-BR"/>
        </w:rPr>
        <w:t>a</w:t>
      </w:r>
      <w:r w:rsidRPr="00843CEE">
        <w:rPr>
          <w:rFonts w:cs="Arial" w:asciiTheme="majorHAnsi" w:hAnsiTheme="majorHAnsi"/>
          <w:sz w:val="20"/>
          <w:lang w:val="pt-BR" w:eastAsia="pt-BR"/>
        </w:rPr>
        <w:t xml:space="preserve"> Técnic</w:t>
      </w:r>
      <w:r>
        <w:rPr>
          <w:rFonts w:cs="Arial" w:asciiTheme="majorHAnsi" w:hAnsiTheme="majorHAnsi"/>
          <w:sz w:val="20"/>
          <w:lang w:val="pt-BR" w:eastAsia="pt-BR"/>
        </w:rPr>
        <w:t>a</w:t>
      </w:r>
    </w:p>
    <w:p w:rsidR="00C244D5" w:rsidP="00C244D5" w:rsidRDefault="00C244D5" w14:paraId="1CE42F4E" w14:textId="77777777">
      <w:pPr>
        <w:spacing w:line="276" w:lineRule="auto"/>
        <w:jc w:val="center"/>
        <w:rPr>
          <w:rFonts w:cs="Times New Roman" w:asciiTheme="majorHAnsi" w:hAnsiTheme="majorHAnsi"/>
          <w:bCs/>
          <w:sz w:val="20"/>
          <w:lang w:val="pt-BR"/>
        </w:rPr>
      </w:pPr>
      <w:r w:rsidRPr="00B64DA3">
        <w:rPr>
          <w:rFonts w:cs="Times New Roman" w:asciiTheme="majorHAnsi" w:hAnsiTheme="majorHAnsi"/>
          <w:bCs/>
          <w:sz w:val="20"/>
          <w:lang w:val="pt-BR"/>
        </w:rPr>
        <w:t>Comissão de Exercício Profissional – CEP-CAU/MG</w:t>
      </w:r>
    </w:p>
    <w:p w:rsidRPr="009F3E0D" w:rsidR="001F0450" w:rsidP="00C244D5" w:rsidRDefault="001F0450" w14:paraId="4CF2B414" w14:textId="2F27974D">
      <w:pPr>
        <w:spacing w:line="276" w:lineRule="auto"/>
        <w:rPr>
          <w:rFonts w:cs="Arial" w:asciiTheme="majorHAnsi" w:hAnsiTheme="majorHAnsi"/>
          <w:sz w:val="20"/>
          <w:lang w:val="pt-BR" w:eastAsia="pt-BR"/>
        </w:rPr>
      </w:pPr>
    </w:p>
    <w:p w:rsidRPr="0000345C" w:rsidR="00513883" w:rsidP="001F0450" w:rsidRDefault="00513883" w14:paraId="0BF66CC0" w14:textId="18108618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sectPr w:rsidRPr="0000345C" w:rsidR="00513883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464" w:rsidRDefault="00882464" w14:paraId="05716960" w14:textId="77777777">
      <w:r>
        <w:separator/>
      </w:r>
    </w:p>
  </w:endnote>
  <w:endnote w:type="continuationSeparator" w:id="0">
    <w:p w:rsidR="00882464" w:rsidRDefault="00882464" w14:paraId="4E4D59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464" w:rsidRDefault="00882464" w14:paraId="49F44B36" w14:textId="77777777">
      <w:r>
        <w:separator/>
      </w:r>
    </w:p>
  </w:footnote>
  <w:footnote w:type="continuationSeparator" w:id="0">
    <w:p w:rsidR="00882464" w:rsidRDefault="00882464" w14:paraId="70A4D3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1104975">
    <w:abstractNumId w:val="26"/>
  </w:num>
  <w:num w:numId="2" w16cid:durableId="1153251110">
    <w:abstractNumId w:val="36"/>
  </w:num>
  <w:num w:numId="3" w16cid:durableId="1498154683">
    <w:abstractNumId w:val="19"/>
  </w:num>
  <w:num w:numId="4" w16cid:durableId="548613650">
    <w:abstractNumId w:val="29"/>
  </w:num>
  <w:num w:numId="5" w16cid:durableId="977760382">
    <w:abstractNumId w:val="7"/>
  </w:num>
  <w:num w:numId="6" w16cid:durableId="2101562887">
    <w:abstractNumId w:val="25"/>
  </w:num>
  <w:num w:numId="7" w16cid:durableId="292030187">
    <w:abstractNumId w:val="1"/>
  </w:num>
  <w:num w:numId="8" w16cid:durableId="1605847388">
    <w:abstractNumId w:val="28"/>
  </w:num>
  <w:num w:numId="9" w16cid:durableId="1744065785">
    <w:abstractNumId w:val="6"/>
  </w:num>
  <w:num w:numId="10" w16cid:durableId="681585174">
    <w:abstractNumId w:val="5"/>
  </w:num>
  <w:num w:numId="11" w16cid:durableId="512106704">
    <w:abstractNumId w:val="17"/>
  </w:num>
  <w:num w:numId="12" w16cid:durableId="1024793534">
    <w:abstractNumId w:val="2"/>
  </w:num>
  <w:num w:numId="13" w16cid:durableId="1777289418">
    <w:abstractNumId w:val="14"/>
  </w:num>
  <w:num w:numId="14" w16cid:durableId="1501697776">
    <w:abstractNumId w:val="18"/>
  </w:num>
  <w:num w:numId="15" w16cid:durableId="495192288">
    <w:abstractNumId w:val="13"/>
  </w:num>
  <w:num w:numId="16" w16cid:durableId="864289695">
    <w:abstractNumId w:val="23"/>
  </w:num>
  <w:num w:numId="17" w16cid:durableId="617100823">
    <w:abstractNumId w:val="15"/>
  </w:num>
  <w:num w:numId="18" w16cid:durableId="498812182">
    <w:abstractNumId w:val="3"/>
  </w:num>
  <w:num w:numId="19" w16cid:durableId="543253796">
    <w:abstractNumId w:val="31"/>
  </w:num>
  <w:num w:numId="20" w16cid:durableId="1502889138">
    <w:abstractNumId w:val="8"/>
  </w:num>
  <w:num w:numId="21" w16cid:durableId="338120437">
    <w:abstractNumId w:val="24"/>
  </w:num>
  <w:num w:numId="22" w16cid:durableId="1486359088">
    <w:abstractNumId w:val="20"/>
  </w:num>
  <w:num w:numId="23" w16cid:durableId="1454400536">
    <w:abstractNumId w:val="21"/>
  </w:num>
  <w:num w:numId="24" w16cid:durableId="116410717">
    <w:abstractNumId w:val="10"/>
  </w:num>
  <w:num w:numId="25" w16cid:durableId="611060042">
    <w:abstractNumId w:val="33"/>
  </w:num>
  <w:num w:numId="26" w16cid:durableId="1414161580">
    <w:abstractNumId w:val="32"/>
  </w:num>
  <w:num w:numId="27" w16cid:durableId="647978839">
    <w:abstractNumId w:val="12"/>
  </w:num>
  <w:num w:numId="28" w16cid:durableId="892738970">
    <w:abstractNumId w:val="30"/>
  </w:num>
  <w:num w:numId="29" w16cid:durableId="524903235">
    <w:abstractNumId w:val="0"/>
  </w:num>
  <w:num w:numId="30" w16cid:durableId="500584405">
    <w:abstractNumId w:val="9"/>
  </w:num>
  <w:num w:numId="31" w16cid:durableId="183784369">
    <w:abstractNumId w:val="37"/>
  </w:num>
  <w:num w:numId="32" w16cid:durableId="386151473">
    <w:abstractNumId w:val="16"/>
  </w:num>
  <w:num w:numId="33" w16cid:durableId="805974272">
    <w:abstractNumId w:val="35"/>
  </w:num>
  <w:num w:numId="34" w16cid:durableId="1181773714">
    <w:abstractNumId w:val="34"/>
  </w:num>
  <w:num w:numId="35" w16cid:durableId="283584272">
    <w:abstractNumId w:val="11"/>
  </w:num>
  <w:num w:numId="36" w16cid:durableId="1781487720">
    <w:abstractNumId w:val="27"/>
  </w:num>
  <w:num w:numId="37" w16cid:durableId="618217978">
    <w:abstractNumId w:val="22"/>
  </w:num>
  <w:num w:numId="38" w16cid:durableId="18849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21F2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855D8"/>
    <w:rsid w:val="000907DD"/>
    <w:rsid w:val="000A5D34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93780"/>
    <w:rsid w:val="001A3F23"/>
    <w:rsid w:val="001A4779"/>
    <w:rsid w:val="001A7AAF"/>
    <w:rsid w:val="001C01D8"/>
    <w:rsid w:val="001E1C07"/>
    <w:rsid w:val="001E46BE"/>
    <w:rsid w:val="001F013B"/>
    <w:rsid w:val="001F0450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3207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3F4491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070E7"/>
    <w:rsid w:val="00513883"/>
    <w:rsid w:val="005202A3"/>
    <w:rsid w:val="0053398C"/>
    <w:rsid w:val="00552B8A"/>
    <w:rsid w:val="00554005"/>
    <w:rsid w:val="00581A01"/>
    <w:rsid w:val="00585814"/>
    <w:rsid w:val="005873C6"/>
    <w:rsid w:val="005B5A2B"/>
    <w:rsid w:val="005C19B3"/>
    <w:rsid w:val="005C4EF1"/>
    <w:rsid w:val="005C5290"/>
    <w:rsid w:val="005D3448"/>
    <w:rsid w:val="005F0E1F"/>
    <w:rsid w:val="006018CE"/>
    <w:rsid w:val="0061502B"/>
    <w:rsid w:val="006232E4"/>
    <w:rsid w:val="00632A09"/>
    <w:rsid w:val="0063417F"/>
    <w:rsid w:val="0064672F"/>
    <w:rsid w:val="00655AD6"/>
    <w:rsid w:val="0066517D"/>
    <w:rsid w:val="0067029E"/>
    <w:rsid w:val="00686D15"/>
    <w:rsid w:val="00692726"/>
    <w:rsid w:val="006B1141"/>
    <w:rsid w:val="006D28CA"/>
    <w:rsid w:val="006E4C56"/>
    <w:rsid w:val="006E6D2D"/>
    <w:rsid w:val="006F51B0"/>
    <w:rsid w:val="007053C1"/>
    <w:rsid w:val="007145FA"/>
    <w:rsid w:val="00720A3D"/>
    <w:rsid w:val="007367E5"/>
    <w:rsid w:val="00744ECE"/>
    <w:rsid w:val="00756BE6"/>
    <w:rsid w:val="00761C87"/>
    <w:rsid w:val="007958C6"/>
    <w:rsid w:val="007C5270"/>
    <w:rsid w:val="007F1BD0"/>
    <w:rsid w:val="00816999"/>
    <w:rsid w:val="00837F1C"/>
    <w:rsid w:val="00845619"/>
    <w:rsid w:val="008724F5"/>
    <w:rsid w:val="00880ED6"/>
    <w:rsid w:val="00882464"/>
    <w:rsid w:val="00887B6A"/>
    <w:rsid w:val="008B2CFA"/>
    <w:rsid w:val="008B36A9"/>
    <w:rsid w:val="008D38A8"/>
    <w:rsid w:val="008D6C47"/>
    <w:rsid w:val="008E1359"/>
    <w:rsid w:val="008E4863"/>
    <w:rsid w:val="008E50F3"/>
    <w:rsid w:val="009229C4"/>
    <w:rsid w:val="009251C0"/>
    <w:rsid w:val="00945A0B"/>
    <w:rsid w:val="00961DF5"/>
    <w:rsid w:val="00966DA1"/>
    <w:rsid w:val="00982BCA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1391"/>
    <w:rsid w:val="00B44E9E"/>
    <w:rsid w:val="00B61BEC"/>
    <w:rsid w:val="00B64488"/>
    <w:rsid w:val="00B73E8A"/>
    <w:rsid w:val="00B95C06"/>
    <w:rsid w:val="00BB6B85"/>
    <w:rsid w:val="00BB7825"/>
    <w:rsid w:val="00BC07EA"/>
    <w:rsid w:val="00BC3539"/>
    <w:rsid w:val="00BD582B"/>
    <w:rsid w:val="00BE3014"/>
    <w:rsid w:val="00BE7620"/>
    <w:rsid w:val="00BF7447"/>
    <w:rsid w:val="00C12B27"/>
    <w:rsid w:val="00C13373"/>
    <w:rsid w:val="00C13A87"/>
    <w:rsid w:val="00C22179"/>
    <w:rsid w:val="00C244D5"/>
    <w:rsid w:val="00C5259B"/>
    <w:rsid w:val="00C54CB5"/>
    <w:rsid w:val="00C6352D"/>
    <w:rsid w:val="00C636D3"/>
    <w:rsid w:val="00C70894"/>
    <w:rsid w:val="00C714A7"/>
    <w:rsid w:val="00C73715"/>
    <w:rsid w:val="00C979E1"/>
    <w:rsid w:val="00CA7815"/>
    <w:rsid w:val="00CE6D68"/>
    <w:rsid w:val="00CF2C23"/>
    <w:rsid w:val="00CF7F8F"/>
    <w:rsid w:val="00D054AE"/>
    <w:rsid w:val="00D07860"/>
    <w:rsid w:val="00D11C8A"/>
    <w:rsid w:val="00D15B06"/>
    <w:rsid w:val="00D54875"/>
    <w:rsid w:val="00D55D3C"/>
    <w:rsid w:val="00D673DB"/>
    <w:rsid w:val="00D80779"/>
    <w:rsid w:val="00D917A6"/>
    <w:rsid w:val="00DA4263"/>
    <w:rsid w:val="00DA7171"/>
    <w:rsid w:val="00DB145C"/>
    <w:rsid w:val="00DE02CB"/>
    <w:rsid w:val="00DE447E"/>
    <w:rsid w:val="00DE481A"/>
    <w:rsid w:val="00DE7F25"/>
    <w:rsid w:val="00DF398B"/>
    <w:rsid w:val="00DF51B6"/>
    <w:rsid w:val="00E07BC5"/>
    <w:rsid w:val="00E203D1"/>
    <w:rsid w:val="00E20A1C"/>
    <w:rsid w:val="00E26503"/>
    <w:rsid w:val="00E32874"/>
    <w:rsid w:val="00E346F3"/>
    <w:rsid w:val="00E5049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AF4"/>
    <w:rsid w:val="00F35473"/>
    <w:rsid w:val="00F7384D"/>
    <w:rsid w:val="00F92619"/>
    <w:rsid w:val="00F96261"/>
    <w:rsid w:val="00F9789F"/>
    <w:rsid w:val="00FA7D4D"/>
    <w:rsid w:val="1A4342B3"/>
    <w:rsid w:val="3CD325FD"/>
    <w:rsid w:val="3DFB57BE"/>
    <w:rsid w:val="4117B20F"/>
    <w:rsid w:val="46BDD042"/>
    <w:rsid w:val="52635E7D"/>
    <w:rsid w:val="57F52D18"/>
    <w:rsid w:val="58EDAC42"/>
    <w:rsid w:val="61C3A7FF"/>
    <w:rsid w:val="65554C23"/>
    <w:rsid w:val="68FC183F"/>
    <w:rsid w:val="6B817C99"/>
    <w:rsid w:val="7C95A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arter" w:customStyle="1">
    <w:name w:val="Cabeçalho Caráter"/>
    <w:basedOn w:val="Tipodeletrapredefinidodopargraf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arter" w:customStyle="1">
    <w:name w:val="Rodapé Caráter"/>
    <w:basedOn w:val="Tipodeletrapredefinidodopargraf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0719-05EF-4528-9C5D-5E152E4BB8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Exercicio Profissional - CAU/MG</lastModifiedBy>
  <revision>27</revision>
  <lastPrinted>2021-04-01T20:08:00.0000000Z</lastPrinted>
  <dcterms:created xsi:type="dcterms:W3CDTF">2023-05-21T01:12:00.0000000Z</dcterms:created>
  <dcterms:modified xsi:type="dcterms:W3CDTF">2023-09-20T12:20:36.4468969Z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