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4676FAAF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E052F8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05EEA4F" w:rsidR="002A57A5" w:rsidRPr="00332061" w:rsidRDefault="00E052F8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19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265A7EC" w:rsidR="002A57A5" w:rsidRPr="00332061" w:rsidRDefault="00831C7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13: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E052F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D83D0A9" w:rsidR="000747FA" w:rsidRPr="00C90DE1" w:rsidRDefault="00E052F8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EDF0DA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E052F8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599EBFB" w:rsidR="000747FA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71F7D5BF" w:rsidR="000747FA" w:rsidRPr="00332061" w:rsidRDefault="00B13A4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A71DBF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C83A606" w:rsidR="00A71DBF" w:rsidRPr="00C90DE1" w:rsidRDefault="00E052F8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Gonçalves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Oliveira</w:t>
            </w:r>
          </w:p>
        </w:tc>
      </w:tr>
      <w:tr w:rsidR="00A71DBF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E052F8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FC322A8" w14:textId="77777777" w:rsidR="0068017E" w:rsidRPr="0068017E" w:rsidRDefault="0068017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0366840B" w14:textId="77777777" w:rsidR="00E052F8" w:rsidRPr="00E052F8" w:rsidRDefault="00E052F8" w:rsidP="00E052F8">
            <w:pPr>
              <w:pStyle w:val="PargrafodaLista"/>
              <w:numPr>
                <w:ilvl w:val="0"/>
                <w:numId w:val="34"/>
              </w:numPr>
              <w:suppressLineNumbers/>
              <w:spacing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Reformulação Orçamentária 2023</w:t>
            </w:r>
          </w:p>
          <w:p w14:paraId="0EE4580A" w14:textId="77777777" w:rsidR="00E052F8" w:rsidRPr="00E052F8" w:rsidRDefault="00E052F8" w:rsidP="00E052F8">
            <w:pPr>
              <w:pStyle w:val="PargrafodaLista"/>
              <w:numPr>
                <w:ilvl w:val="0"/>
                <w:numId w:val="34"/>
              </w:numPr>
              <w:suppressLineNumbers/>
              <w:spacing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Encaminhamentos reserva orçamentária Sede e acompanhamento da realização orçamentária pelas unidades do CAU/MG</w:t>
            </w:r>
          </w:p>
          <w:p w14:paraId="69123A64" w14:textId="77777777" w:rsidR="00E052F8" w:rsidRPr="00E052F8" w:rsidRDefault="00E052F8" w:rsidP="00E052F8">
            <w:pPr>
              <w:pStyle w:val="PargrafodaLista"/>
              <w:numPr>
                <w:ilvl w:val="0"/>
                <w:numId w:val="34"/>
              </w:numPr>
              <w:suppressLineNumbers/>
              <w:spacing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Memorando GEPLAN – Informações para o Relatório Semestral 2023</w:t>
            </w:r>
          </w:p>
          <w:p w14:paraId="7B570875" w14:textId="77777777" w:rsidR="00E052F8" w:rsidRPr="00E052F8" w:rsidRDefault="00E052F8" w:rsidP="00E052F8">
            <w:pPr>
              <w:pStyle w:val="PargrafodaLista"/>
              <w:numPr>
                <w:ilvl w:val="0"/>
                <w:numId w:val="34"/>
              </w:numPr>
              <w:suppressLineNumbers/>
              <w:spacing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 xml:space="preserve">Drive </w:t>
            </w:r>
            <w:proofErr w:type="spellStart"/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CPFi</w:t>
            </w:r>
            <w:proofErr w:type="spellEnd"/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 xml:space="preserve"> – Compartilhamento Informações</w:t>
            </w:r>
          </w:p>
          <w:p w14:paraId="54EC738D" w14:textId="77777777" w:rsidR="00E052F8" w:rsidRPr="00E052F8" w:rsidRDefault="00E052F8" w:rsidP="00E052F8">
            <w:pPr>
              <w:pStyle w:val="PargrafodaLista"/>
              <w:numPr>
                <w:ilvl w:val="0"/>
                <w:numId w:val="34"/>
              </w:numPr>
              <w:suppressLineNumbers/>
              <w:spacing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 xml:space="preserve">Assinatura Súmula por todos(as) participantes e deliberação Assessor e Coordenador </w:t>
            </w:r>
          </w:p>
          <w:p w14:paraId="6BD1850F" w14:textId="4EC49B24" w:rsidR="0068017E" w:rsidRPr="00E052F8" w:rsidRDefault="0068017E" w:rsidP="00E052F8">
            <w:pPr>
              <w:suppressLineNumbers/>
              <w:spacing w:before="120" w:after="120"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 w:rsid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  <w:p w14:paraId="748F183A" w14:textId="45DF3C38" w:rsidR="00EC431A" w:rsidRPr="00EC431A" w:rsidRDefault="00EC431A" w:rsidP="00E052F8">
            <w:pPr>
              <w:spacing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SUMULA-19</w:t>
            </w:r>
            <w:r w:rsidR="00E052F8"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-CPFI-CAU-MG</w:t>
            </w:r>
          </w:p>
          <w:p w14:paraId="30A15AE3" w14:textId="349B3E92" w:rsidR="00EC431A" w:rsidRPr="00E052F8" w:rsidRDefault="00EC431A" w:rsidP="00E052F8">
            <w:pPr>
              <w:spacing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</w:t>
            </w:r>
            <w:proofErr w:type="spellStart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 MG </w:t>
            </w:r>
            <w:proofErr w:type="spellStart"/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195.3.2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>Aprovação Resultados Contábeis de Março 2023</w:t>
            </w:r>
          </w:p>
          <w:p w14:paraId="39288D02" w14:textId="0AE46CC8" w:rsidR="00EC431A" w:rsidRPr="00E052F8" w:rsidRDefault="00EC431A" w:rsidP="00E052F8">
            <w:pPr>
              <w:spacing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</w:t>
            </w:r>
            <w:proofErr w:type="spellStart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 MG </w:t>
            </w:r>
            <w:proofErr w:type="spellStart"/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195.3.4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E052F8" w:rsidRPr="00E052F8">
              <w:rPr>
                <w:rFonts w:asciiTheme="majorHAnsi" w:hAnsiTheme="majorHAnsi"/>
                <w:sz w:val="20"/>
                <w:szCs w:val="20"/>
                <w:lang w:val="pt-BR"/>
              </w:rPr>
              <w:t>Solicitação de revisão de cobrança de anuidades</w:t>
            </w:r>
          </w:p>
          <w:p w14:paraId="3FF38B2F" w14:textId="3AEA1DCF" w:rsidR="00EC431A" w:rsidRPr="0068017E" w:rsidRDefault="00EC431A" w:rsidP="00E052F8">
            <w:pPr>
              <w:jc w:val="both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2CFB6F0B" w14:textId="77777777" w:rsidR="00E052F8" w:rsidRPr="00E052F8" w:rsidRDefault="00E052F8" w:rsidP="00E052F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052F8">
              <w:rPr>
                <w:rFonts w:asciiTheme="majorHAnsi" w:hAnsiTheme="majorHAnsi" w:cs="Arial"/>
                <w:sz w:val="20"/>
                <w:szCs w:val="20"/>
                <w:lang w:val="pt-BR"/>
              </w:rPr>
              <w:t>Razão Contábil – maio/2023 (principais pontos)</w:t>
            </w:r>
          </w:p>
          <w:p w14:paraId="44DFCFD7" w14:textId="77777777" w:rsidR="00E052F8" w:rsidRPr="00E052F8" w:rsidRDefault="00E052F8" w:rsidP="00E052F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052F8">
              <w:rPr>
                <w:rFonts w:asciiTheme="majorHAnsi" w:hAnsiTheme="majorHAnsi" w:cs="Arial"/>
                <w:sz w:val="20"/>
                <w:szCs w:val="20"/>
                <w:lang w:val="pt-BR"/>
              </w:rPr>
              <w:t>Relatório Contábil abril/2023</w:t>
            </w:r>
          </w:p>
          <w:p w14:paraId="59353296" w14:textId="77777777" w:rsidR="00E052F8" w:rsidRPr="00E052F8" w:rsidRDefault="00E052F8" w:rsidP="00E052F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052F8">
              <w:rPr>
                <w:rFonts w:asciiTheme="majorHAnsi" w:hAnsiTheme="majorHAnsi" w:cs="Arial"/>
                <w:sz w:val="20"/>
                <w:szCs w:val="20"/>
                <w:lang w:val="pt-BR"/>
              </w:rPr>
              <w:t>Atualização Organograma CAU MG</w:t>
            </w:r>
          </w:p>
          <w:p w14:paraId="6B06B596" w14:textId="77777777" w:rsidR="00EC431A" w:rsidRDefault="00E052F8" w:rsidP="00E052F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052F8">
              <w:rPr>
                <w:rFonts w:asciiTheme="majorHAnsi" w:hAnsiTheme="majorHAnsi" w:cs="Arial"/>
                <w:sz w:val="20"/>
                <w:szCs w:val="20"/>
                <w:lang w:val="pt-BR"/>
              </w:rPr>
              <w:t>Prestações de Contas Editais</w:t>
            </w:r>
          </w:p>
          <w:p w14:paraId="4FB27B09" w14:textId="758DE7FC" w:rsidR="00E052F8" w:rsidRPr="00E052F8" w:rsidRDefault="00E052F8" w:rsidP="00E052F8">
            <w:pPr>
              <w:pStyle w:val="PargrafodaLista"/>
              <w:widowControl/>
              <w:suppressAutoHyphens w:val="0"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A71DBF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A71DBF" w:rsidRPr="00332061" w:rsidRDefault="00A71DBF" w:rsidP="00B95A08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E052F8" w:rsidRDefault="004D269C">
      <w:pPr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710E6D59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Pr="00E052F8" w:rsidRDefault="003E681D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10EB8F2" w14:textId="5369C153" w:rsidR="00BD0FAC" w:rsidRPr="00B95A08" w:rsidRDefault="00BD0FAC" w:rsidP="008A79F7">
            <w:pPr>
              <w:pStyle w:val="PargrafodaLista"/>
              <w:widowControl/>
              <w:numPr>
                <w:ilvl w:val="0"/>
                <w:numId w:val="31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95A08">
              <w:rPr>
                <w:rFonts w:ascii="Cambria" w:hAnsi="Cambria"/>
                <w:sz w:val="20"/>
                <w:szCs w:val="20"/>
                <w:lang w:val="pt-BR"/>
              </w:rPr>
              <w:t>Reformulação Orçamentária 2023</w:t>
            </w:r>
            <w:r w:rsidRPr="00B95A08">
              <w:rPr>
                <w:rFonts w:ascii="Cambria" w:hAnsi="Cambria"/>
                <w:sz w:val="20"/>
                <w:szCs w:val="20"/>
                <w:lang w:val="pt-BR"/>
              </w:rPr>
              <w:t>:</w:t>
            </w:r>
            <w:r w:rsidR="00B95A0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Gerente Administrativo Financeiro,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informou que o CAU/BR já procedeu com a aprovação da reformulação orçamentária do CAU/MG e que a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>proposta será aprovada em julho do corrente ano. A proposta já deverá prever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as sugestões de redução encaminhadas pelo CAU/BR.</w:t>
            </w:r>
          </w:p>
          <w:p w14:paraId="42F78BC3" w14:textId="520DD73A" w:rsidR="00BD0FAC" w:rsidRDefault="00BD0FAC" w:rsidP="00BD0FAC">
            <w:pPr>
              <w:pStyle w:val="PargrafodaLista"/>
              <w:numPr>
                <w:ilvl w:val="0"/>
                <w:numId w:val="31"/>
              </w:numPr>
              <w:suppressLineNumbers/>
              <w:spacing w:line="30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Encaminhamentos reserva orçamentária Sede e acompanhamento da realização orçamentária pelas unidades do CAU/MG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  <w:r w:rsidR="00B95A0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Gerente Administrativo Financeiro, Reinaldo Antero de Jesus Júnior, 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esclareceu que se trata de processo próprio do CAU/MG, que poderá ser conduzido no âmbito da Gerência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Administrativ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Financeir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a; reforçou, contudo, que já existe Grupo de Trabalho constituído para apreciar e relatar a matéria e que um possível processo sobre o tema depende das entregas a serem realizadas por este grupo, que irá avaliar distintas possibilidades: locação, compra, construção, etc. </w:t>
            </w:r>
          </w:p>
          <w:p w14:paraId="2DB98145" w14:textId="3890AD51" w:rsidR="00BD0FAC" w:rsidRDefault="00BD0FAC" w:rsidP="00BD0FAC">
            <w:pPr>
              <w:pStyle w:val="PargrafodaLista"/>
              <w:numPr>
                <w:ilvl w:val="0"/>
                <w:numId w:val="31"/>
              </w:numPr>
              <w:suppressLineNumbers/>
              <w:spacing w:line="30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Memorando GEPLAN – Informações para o Relatório Semestral 2023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  <w:r w:rsidR="00B95A0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B95A08"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Gerente Administrativo Financeiro, Reinaldo Antero de Jesus Júnior, informou 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sobre a solicitação de dados encaminhada pela GEPLAN. Foi decidido que o assunto será pautado para a reunião de julho;</w:t>
            </w:r>
          </w:p>
          <w:p w14:paraId="40A10E35" w14:textId="302E9DD7" w:rsidR="00BD0FAC" w:rsidRDefault="00BD0FAC" w:rsidP="00BD0FAC">
            <w:pPr>
              <w:pStyle w:val="PargrafodaLista"/>
              <w:numPr>
                <w:ilvl w:val="0"/>
                <w:numId w:val="31"/>
              </w:numPr>
              <w:suppressLineNumbers/>
              <w:spacing w:line="30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 xml:space="preserve">Drive </w:t>
            </w:r>
            <w:proofErr w:type="spellStart"/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CPFi</w:t>
            </w:r>
            <w:proofErr w:type="spellEnd"/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 xml:space="preserve"> – Compartilhamento Informações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  <w:r w:rsidR="00B95A08">
              <w:rPr>
                <w:rFonts w:ascii="Cambria" w:hAnsi="Cambria"/>
                <w:sz w:val="20"/>
                <w:szCs w:val="20"/>
                <w:lang w:val="pt-BR"/>
              </w:rPr>
              <w:t xml:space="preserve"> Foi acertado que o Assessor Técnico, Darlan Oliveira, deverá criar uma pasta compartilhada na </w:t>
            </w:r>
            <w:r w:rsidR="00B95A08" w:rsidRPr="00B95A08">
              <w:rPr>
                <w:rFonts w:ascii="Cambria" w:hAnsi="Cambria"/>
                <w:i/>
                <w:iCs/>
                <w:sz w:val="20"/>
                <w:szCs w:val="20"/>
                <w:lang w:val="pt-BR"/>
              </w:rPr>
              <w:t>nuvem</w:t>
            </w:r>
            <w:r w:rsidR="00B95A08">
              <w:rPr>
                <w:rFonts w:ascii="Cambria" w:hAnsi="Cambria"/>
                <w:sz w:val="20"/>
                <w:szCs w:val="20"/>
                <w:lang w:val="pt-BR"/>
              </w:rPr>
              <w:t xml:space="preserve"> (OneDrive) com os arquivos da Comissão. A organização e disponibilização dos arquivos deverá seguir o mesmo padrão adotado pelas demais Comissões do CAU/MG;</w:t>
            </w:r>
          </w:p>
          <w:p w14:paraId="2EADCFE6" w14:textId="7749D7DB" w:rsidR="00B95A08" w:rsidRPr="00224A21" w:rsidRDefault="00BD0FAC" w:rsidP="00224A21">
            <w:pPr>
              <w:pStyle w:val="PargrafodaLista"/>
              <w:numPr>
                <w:ilvl w:val="0"/>
                <w:numId w:val="31"/>
              </w:numPr>
              <w:suppressLineNumbers/>
              <w:spacing w:after="120" w:line="300" w:lineRule="auto"/>
              <w:ind w:left="714" w:hanging="357"/>
              <w:rPr>
                <w:rFonts w:ascii="Cambria" w:hAnsi="Cambria"/>
                <w:sz w:val="20"/>
                <w:szCs w:val="20"/>
                <w:lang w:val="pt-BR"/>
              </w:rPr>
            </w:pPr>
            <w:r w:rsidRPr="00E052F8">
              <w:rPr>
                <w:rFonts w:ascii="Cambria" w:hAnsi="Cambria"/>
                <w:sz w:val="20"/>
                <w:szCs w:val="20"/>
                <w:lang w:val="pt-BR"/>
              </w:rPr>
              <w:t>Assinatura Súmula por todos(as) participantes e deliberação Assessor e Coordenador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:</w:t>
            </w:r>
            <w:r w:rsidR="00224A21">
              <w:rPr>
                <w:rFonts w:ascii="Cambria" w:hAnsi="Cambria"/>
                <w:sz w:val="20"/>
                <w:szCs w:val="20"/>
                <w:lang w:val="pt-BR"/>
              </w:rPr>
              <w:t xml:space="preserve"> Foi informado sobre a necessidade de assinatura de Súmulas por todos os membros presentes à sessão. O </w:t>
            </w:r>
            <w:r w:rsidR="00224A21">
              <w:rPr>
                <w:rFonts w:ascii="Cambria" w:hAnsi="Cambria"/>
                <w:sz w:val="20"/>
                <w:szCs w:val="20"/>
                <w:lang w:val="pt-BR"/>
              </w:rPr>
              <w:t>Assessor Técnico, Darlan Oliveira, deverá</w:t>
            </w:r>
            <w:r w:rsidR="00224A21">
              <w:rPr>
                <w:rFonts w:ascii="Cambria" w:hAnsi="Cambria"/>
                <w:sz w:val="20"/>
                <w:szCs w:val="20"/>
                <w:lang w:val="pt-BR"/>
              </w:rPr>
              <w:t xml:space="preserve"> avaliar a necessidade de assinatura de documentos retroativamente e, se for o caso, coletar as respectivas assinaturas. Para deliberações, são necessárias apenas a assinatura do Coordenador da Comissão e do respectivo Assessor Técnico.</w:t>
            </w: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27C5E04" w14:textId="349B34FD" w:rsidR="00EB5C1A" w:rsidRPr="00580C95" w:rsidRDefault="0068017E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Fo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ram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 seguintes documentos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, com leitura e participação atenta de todos(as)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560FF23" w14:textId="55FBBBF8" w:rsidR="00E052F8" w:rsidRPr="00EC431A" w:rsidRDefault="00E052F8" w:rsidP="005D7990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SUMULA-19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-CPFI-CAU-MG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3528A9DF" w14:textId="7E986C00" w:rsidR="00E052F8" w:rsidRPr="00E052F8" w:rsidRDefault="00E052F8" w:rsidP="005D7990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</w:t>
            </w:r>
            <w:proofErr w:type="spellStart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 MG </w:t>
            </w:r>
            <w:proofErr w:type="spellStart"/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195.3.2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>Aprovação Resultados Contábeis de Março 2023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; e</w:t>
            </w:r>
          </w:p>
          <w:p w14:paraId="7409A6C7" w14:textId="38744904" w:rsidR="00E052F8" w:rsidRPr="00E052F8" w:rsidRDefault="00E052F8" w:rsidP="005D7990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</w:t>
            </w:r>
            <w:proofErr w:type="spellStart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 MG </w:t>
            </w:r>
            <w:proofErr w:type="spellStart"/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195.3.4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Pr="00E052F8">
              <w:rPr>
                <w:rFonts w:asciiTheme="majorHAnsi" w:hAnsiTheme="majorHAnsi"/>
                <w:sz w:val="20"/>
                <w:szCs w:val="20"/>
                <w:lang w:val="pt-BR"/>
              </w:rPr>
              <w:t>Solicitação de revisão de cobrança de anuidades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A70BF10" w14:textId="7D634039" w:rsidR="00464970" w:rsidRPr="00C90DE1" w:rsidRDefault="0068017E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Não havendo fato que desabonasse, procedeu-se a aprovação do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documento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25FCFB0D" w14:textId="77777777" w:rsidR="0068017E" w:rsidRPr="0068017E" w:rsidRDefault="0068017E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3DDF83D6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052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maio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226411A7" w:rsidR="008C6AF6" w:rsidRPr="00E052F8" w:rsidRDefault="00C90DE1" w:rsidP="00E052F8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E052F8">
              <w:rPr>
                <w:rFonts w:ascii="Cambria" w:hAnsi="Cambria"/>
                <w:sz w:val="20"/>
                <w:szCs w:val="20"/>
                <w:lang w:val="pt-BR"/>
              </w:rPr>
              <w:t>maio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35C9226F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052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abril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8652E49" w14:textId="7815FF65" w:rsidR="00EC431A" w:rsidRDefault="00722946" w:rsidP="005D799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Apresentação técnica de todos os aspectos ligados aos resultados contábeis, orçamentários, financeiros e patrimoniais do CAU/MG na competência – </w:t>
            </w:r>
            <w:r w:rsidR="00E052F8">
              <w:rPr>
                <w:rFonts w:asciiTheme="majorHAnsi" w:hAnsiTheme="majorHAnsi"/>
                <w:sz w:val="20"/>
                <w:szCs w:val="20"/>
                <w:lang w:val="pt-BR"/>
              </w:rPr>
              <w:t>abril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B5C1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50BF4463" w14:textId="21C9F0D3" w:rsidR="00851867" w:rsidRPr="00BE3A49" w:rsidRDefault="00E052F8" w:rsidP="005D799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Conforme deliberado na reunião anterior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[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195.3.2/2023]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, reforçou-se a questão dos</w:t>
            </w:r>
            <w:r w:rsidR="00722946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resultados positivos apresentados pela autarquia. 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Comissão, Cons. Fábio Vieira, solicitou que fossem apresentados na próxima sessão, se possível, uma análise mais completa referente às receitas obtidas com </w:t>
            </w:r>
            <w:proofErr w:type="spellStart"/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RRTs</w:t>
            </w:r>
            <w:proofErr w:type="spellEnd"/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Após todas as considerações, foi emitida a Deliberação de aprovação do relatório contábil </w:t>
            </w:r>
            <w:r w:rsidR="00BD0FAC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[</w:t>
            </w:r>
            <w:proofErr w:type="spellStart"/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</w:t>
            </w:r>
            <w:r w:rsidR="00BD0FAC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19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 w:rsidR="00BD0FAC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.2/2023]</w:t>
            </w:r>
            <w:r w:rsidR="00BD0FAC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65A58191" w:rsidR="00722946" w:rsidRPr="00BE3A49" w:rsidRDefault="00BD0FAC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Atualização do organograma do CAU/MG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3934AA14" w:rsidR="00D2158B" w:rsidRPr="00722946" w:rsidRDefault="00C000C0" w:rsidP="00C000C0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da Comissão discutiram a questão da alteração do organograma do CAU/MG, matéria que também está na pauta da Reunião Plenária do Conselho. O organograma proposto foi apresentado pelo </w:t>
            </w:r>
            <w:r w:rsidRP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Administrativo Financeiro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CAU/MG, que esclareceu as dúvidas dos presentes acerca de pontos específicos da proposta. A Cons.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>Titular, Rosilene Guedes, questionou sobre a questão dos nomes dos cargos existentes no organograma, ressaltando que os cargos de todos os arquitetos (inclusive analistas e fiscais) deveriam ser</w:t>
            </w:r>
            <w:r w:rsidR="00DF251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unificados como Arquitetos e Urbanistas, nos termos da Lei n° 12.378/2010. Discutiu-se ainda se esta Comissão de Planejamento e Finanças deveria emitir alguma deliberação sobre a matéria, tendo em vista que o organograma em si ainda não foi aprovado pelo Plenário do CAU/MG. Considerando que esta Comissão irá apreciar a matéria apenas no que diz respeito aos impactos financeiros da proposta, a </w:t>
            </w:r>
            <w:proofErr w:type="spellStart"/>
            <w:r w:rsidR="00DF251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CPFi</w:t>
            </w:r>
            <w:proofErr w:type="spellEnd"/>
            <w:r w:rsidR="00DF251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decidiu por aguardar a aprovação da alteração do organograma, de forma que a análise financeira seja realizada em função do organograma definitivo. Assim, embora apreciada e discutida a proposta apreciada, não houve deliberação sobre o tema.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389D1E5" w14:textId="77777777" w:rsidR="00722946" w:rsidRPr="00DA431B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3C16B39" w14:textId="77777777" w:rsidTr="00783356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9F554C2" w14:textId="0E470678" w:rsidR="00722946" w:rsidRPr="00783356" w:rsidRDefault="00BD0FAC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Prestação de Contas de Editais</w:t>
            </w:r>
          </w:p>
        </w:tc>
      </w:tr>
      <w:tr w:rsidR="00722946" w:rsidRPr="00E052F8" w14:paraId="3F5C68E8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E69B2D1" w14:textId="751003E3" w:rsidR="00A85178" w:rsidRPr="00580C95" w:rsidRDefault="00A85178" w:rsidP="00A85178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Foram apresentados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Contadora do CAU/MG,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Lívian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Hott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seguintes documentos, com leitura e participação atenta de todos(as)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7ED363D" w14:textId="60FAF6CA" w:rsidR="00A85178" w:rsidRPr="00A85178" w:rsidRDefault="00A85178" w:rsidP="00A85178">
            <w:pPr>
              <w:pStyle w:val="PargrafodaLista"/>
              <w:numPr>
                <w:ilvl w:val="0"/>
                <w:numId w:val="36"/>
              </w:numPr>
              <w:spacing w:line="360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5178">
              <w:rPr>
                <w:rFonts w:asciiTheme="majorHAnsi" w:hAnsiTheme="majorHAnsi"/>
                <w:sz w:val="20"/>
                <w:szCs w:val="20"/>
                <w:lang w:val="pt-BR"/>
              </w:rPr>
              <w:t>Análise Técnica 001/2023 – Fundação de Apoio Universitário – FAU, Protocolo SICCAU n° 1217335/2020;</w:t>
            </w:r>
          </w:p>
          <w:p w14:paraId="72468CCA" w14:textId="5210109E" w:rsidR="00A85178" w:rsidRPr="00A85178" w:rsidRDefault="00A85178" w:rsidP="00A85178">
            <w:pPr>
              <w:pStyle w:val="PargrafodaLista"/>
              <w:numPr>
                <w:ilvl w:val="0"/>
                <w:numId w:val="36"/>
              </w:numPr>
              <w:spacing w:line="360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5178">
              <w:rPr>
                <w:rFonts w:asciiTheme="majorHAnsi" w:hAnsiTheme="majorHAnsi"/>
                <w:sz w:val="20"/>
                <w:szCs w:val="20"/>
                <w:lang w:val="pt-BR"/>
              </w:rPr>
              <w:t>Análise Técnica 002/2023 – Studio R Projetos e Consultoria, Protocolo SICCAU n° 1575667/2022;</w:t>
            </w:r>
          </w:p>
          <w:p w14:paraId="17940364" w14:textId="1555B204" w:rsidR="00A85178" w:rsidRPr="00A85178" w:rsidRDefault="00A85178" w:rsidP="00A85178">
            <w:pPr>
              <w:pStyle w:val="PargrafodaLista"/>
              <w:numPr>
                <w:ilvl w:val="0"/>
                <w:numId w:val="36"/>
              </w:numPr>
              <w:spacing w:line="360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5178">
              <w:rPr>
                <w:rFonts w:asciiTheme="majorHAnsi" w:hAnsiTheme="majorHAnsi"/>
                <w:sz w:val="20"/>
                <w:szCs w:val="20"/>
                <w:lang w:val="pt-BR"/>
              </w:rPr>
              <w:t>Análise Técnica 004/2023 – Fundação de Apoio Universitário – FAU, Protocolo SICCAU n° 1626106/2022;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</w:p>
          <w:p w14:paraId="2452DD49" w14:textId="35BE7C12" w:rsidR="00A85178" w:rsidRPr="00A85178" w:rsidRDefault="00A85178" w:rsidP="00A85178">
            <w:pPr>
              <w:pStyle w:val="PargrafodaLista"/>
              <w:numPr>
                <w:ilvl w:val="0"/>
                <w:numId w:val="36"/>
              </w:numPr>
              <w:spacing w:line="360" w:lineRule="auto"/>
              <w:ind w:left="447" w:hanging="283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5178">
              <w:rPr>
                <w:rFonts w:asciiTheme="majorHAnsi" w:hAnsiTheme="majorHAnsi"/>
                <w:sz w:val="20"/>
                <w:szCs w:val="20"/>
                <w:lang w:val="pt-BR"/>
              </w:rPr>
              <w:t>Análise Técnica 006/2021 – Arquitetas Nômades LTDA, Protocolo SICCAU n° 1262202/2021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0BC03DF" w14:textId="4AE18454" w:rsidR="00A85178" w:rsidRDefault="00A85178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Não havendo fato que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desabonasse, procedeu-se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com a emissão de Deliberação 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[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/2023]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solicitando a notificação dos convenentes para a regularização das inconsistências apontadas nas análises, num prazo de 10 dias úteis, conforme orientações dos respectivos editais.</w:t>
            </w:r>
          </w:p>
          <w:p w14:paraId="7E3B2DE3" w14:textId="7EE5467E" w:rsidR="008F3759" w:rsidRPr="00722946" w:rsidRDefault="008F3759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565F2D6" w14:textId="77777777" w:rsidR="00B84D76" w:rsidRPr="005D7990" w:rsidRDefault="00B84D76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15EF969E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3114F2" w:rsidRPr="003114F2">
              <w:rPr>
                <w:rFonts w:asciiTheme="majorHAnsi" w:hAnsiTheme="majorHAnsi"/>
                <w:sz w:val="20"/>
                <w:szCs w:val="20"/>
                <w:lang w:val="pt-BR"/>
              </w:rPr>
              <w:t>12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3114F2">
              <w:rPr>
                <w:rFonts w:asciiTheme="majorHAnsi" w:hAnsiTheme="majorHAnsi"/>
                <w:sz w:val="20"/>
                <w:szCs w:val="20"/>
                <w:lang w:val="pt-BR"/>
              </w:rPr>
              <w:t>30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B70B3AE" w14:textId="19BE9E11" w:rsidR="00134EDA" w:rsidRDefault="00C000C0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C000C0">
        <w:rPr>
          <w:rFonts w:ascii="Cambria" w:eastAsia="Calibri" w:hAnsi="Cambria" w:cs="Times New Roman"/>
          <w:b/>
          <w:sz w:val="20"/>
          <w:szCs w:val="20"/>
          <w:lang w:val="pt-BR"/>
        </w:rPr>
        <w:t>Mariana Fernandes Teixeira</w:t>
      </w:r>
    </w:p>
    <w:p w14:paraId="3BA53DAB" w14:textId="75911855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C000C0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4EB40890" w:rsidR="00145ED0" w:rsidRPr="0095776C" w:rsidRDefault="0032082D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Darlan Gonçalves de Oliveira</w:t>
      </w:r>
    </w:p>
    <w:p w14:paraId="64C65E65" w14:textId="47A26476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A8517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A8517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DC23" w14:textId="77777777" w:rsidR="00A236CB" w:rsidRDefault="00A236CB">
      <w:r>
        <w:separator/>
      </w:r>
    </w:p>
  </w:endnote>
  <w:endnote w:type="continuationSeparator" w:id="0">
    <w:p w14:paraId="7E153987" w14:textId="77777777" w:rsidR="00A236CB" w:rsidRDefault="00A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DA92" w14:textId="77777777" w:rsidR="00A236CB" w:rsidRDefault="00A236CB">
      <w:r>
        <w:separator/>
      </w:r>
    </w:p>
  </w:footnote>
  <w:footnote w:type="continuationSeparator" w:id="0">
    <w:p w14:paraId="1FB6F48B" w14:textId="77777777" w:rsidR="00A236CB" w:rsidRDefault="00A2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4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99380">
    <w:abstractNumId w:val="24"/>
  </w:num>
  <w:num w:numId="2" w16cid:durableId="221251954">
    <w:abstractNumId w:val="33"/>
  </w:num>
  <w:num w:numId="3" w16cid:durableId="524253214">
    <w:abstractNumId w:val="18"/>
  </w:num>
  <w:num w:numId="4" w16cid:durableId="1699234136">
    <w:abstractNumId w:val="26"/>
  </w:num>
  <w:num w:numId="5" w16cid:durableId="511722351">
    <w:abstractNumId w:val="14"/>
  </w:num>
  <w:num w:numId="6" w16cid:durableId="1448623803">
    <w:abstractNumId w:val="20"/>
  </w:num>
  <w:num w:numId="7" w16cid:durableId="1627076448">
    <w:abstractNumId w:val="8"/>
  </w:num>
  <w:num w:numId="8" w16cid:durableId="1034886570">
    <w:abstractNumId w:val="25"/>
  </w:num>
  <w:num w:numId="9" w16cid:durableId="1547984475">
    <w:abstractNumId w:val="13"/>
  </w:num>
  <w:num w:numId="10" w16cid:durableId="2000232474">
    <w:abstractNumId w:val="10"/>
  </w:num>
  <w:num w:numId="11" w16cid:durableId="594523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3153933">
    <w:abstractNumId w:val="23"/>
  </w:num>
  <w:num w:numId="13" w16cid:durableId="1276908840">
    <w:abstractNumId w:val="3"/>
  </w:num>
  <w:num w:numId="14" w16cid:durableId="1126385643">
    <w:abstractNumId w:val="4"/>
  </w:num>
  <w:num w:numId="15" w16cid:durableId="148058308">
    <w:abstractNumId w:val="7"/>
  </w:num>
  <w:num w:numId="16" w16cid:durableId="1882472904">
    <w:abstractNumId w:val="31"/>
  </w:num>
  <w:num w:numId="17" w16cid:durableId="935937635">
    <w:abstractNumId w:val="1"/>
  </w:num>
  <w:num w:numId="18" w16cid:durableId="159085948">
    <w:abstractNumId w:val="29"/>
  </w:num>
  <w:num w:numId="19" w16cid:durableId="134951895">
    <w:abstractNumId w:val="27"/>
  </w:num>
  <w:num w:numId="20" w16cid:durableId="1087310123">
    <w:abstractNumId w:val="15"/>
  </w:num>
  <w:num w:numId="21" w16cid:durableId="103157214">
    <w:abstractNumId w:val="16"/>
  </w:num>
  <w:num w:numId="22" w16cid:durableId="551499948">
    <w:abstractNumId w:val="21"/>
  </w:num>
  <w:num w:numId="23" w16cid:durableId="1379430927">
    <w:abstractNumId w:val="30"/>
  </w:num>
  <w:num w:numId="24" w16cid:durableId="2137988923">
    <w:abstractNumId w:val="6"/>
  </w:num>
  <w:num w:numId="25" w16cid:durableId="2083678639">
    <w:abstractNumId w:val="5"/>
  </w:num>
  <w:num w:numId="26" w16cid:durableId="1246525411">
    <w:abstractNumId w:val="0"/>
  </w:num>
  <w:num w:numId="27" w16cid:durableId="1016225034">
    <w:abstractNumId w:val="9"/>
  </w:num>
  <w:num w:numId="28" w16cid:durableId="1624115246">
    <w:abstractNumId w:val="2"/>
  </w:num>
  <w:num w:numId="29" w16cid:durableId="121000738">
    <w:abstractNumId w:val="17"/>
  </w:num>
  <w:num w:numId="30" w16cid:durableId="1879318450">
    <w:abstractNumId w:val="28"/>
  </w:num>
  <w:num w:numId="31" w16cid:durableId="956906424">
    <w:abstractNumId w:val="34"/>
  </w:num>
  <w:num w:numId="32" w16cid:durableId="511799568">
    <w:abstractNumId w:val="22"/>
  </w:num>
  <w:num w:numId="33" w16cid:durableId="1551303482">
    <w:abstractNumId w:val="32"/>
  </w:num>
  <w:num w:numId="34" w16cid:durableId="597446409">
    <w:abstractNumId w:val="19"/>
  </w:num>
  <w:num w:numId="35" w16cid:durableId="1279948024">
    <w:abstractNumId w:val="11"/>
  </w:num>
  <w:num w:numId="36" w16cid:durableId="19665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5831"/>
    <w:rsid w:val="0031122E"/>
    <w:rsid w:val="003114F2"/>
    <w:rsid w:val="00313C4E"/>
    <w:rsid w:val="00317D68"/>
    <w:rsid w:val="0032082D"/>
    <w:rsid w:val="00330D38"/>
    <w:rsid w:val="00332061"/>
    <w:rsid w:val="0033415D"/>
    <w:rsid w:val="003403DC"/>
    <w:rsid w:val="00347790"/>
    <w:rsid w:val="003526E8"/>
    <w:rsid w:val="003574F9"/>
    <w:rsid w:val="0036763C"/>
    <w:rsid w:val="0037114A"/>
    <w:rsid w:val="00395926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92A"/>
    <w:rsid w:val="00464970"/>
    <w:rsid w:val="00475E5D"/>
    <w:rsid w:val="00481423"/>
    <w:rsid w:val="00481816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5266E"/>
    <w:rsid w:val="005664D1"/>
    <w:rsid w:val="00566E79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706404"/>
    <w:rsid w:val="00715650"/>
    <w:rsid w:val="00720A3D"/>
    <w:rsid w:val="00722946"/>
    <w:rsid w:val="00726421"/>
    <w:rsid w:val="007304E8"/>
    <w:rsid w:val="00740BCD"/>
    <w:rsid w:val="00744EAA"/>
    <w:rsid w:val="0075473E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45619"/>
    <w:rsid w:val="00846D3E"/>
    <w:rsid w:val="0084790C"/>
    <w:rsid w:val="00851867"/>
    <w:rsid w:val="00857E66"/>
    <w:rsid w:val="008667BA"/>
    <w:rsid w:val="008724F5"/>
    <w:rsid w:val="00887FDB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8311D"/>
    <w:rsid w:val="0098537B"/>
    <w:rsid w:val="00990A66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5178"/>
    <w:rsid w:val="00AA415F"/>
    <w:rsid w:val="00AB15A0"/>
    <w:rsid w:val="00AC55C8"/>
    <w:rsid w:val="00AD4175"/>
    <w:rsid w:val="00AD725D"/>
    <w:rsid w:val="00AE167D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22179"/>
    <w:rsid w:val="00C240EC"/>
    <w:rsid w:val="00C36E8E"/>
    <w:rsid w:val="00C37452"/>
    <w:rsid w:val="00C4435B"/>
    <w:rsid w:val="00C5259B"/>
    <w:rsid w:val="00C558D3"/>
    <w:rsid w:val="00C558EA"/>
    <w:rsid w:val="00C634D6"/>
    <w:rsid w:val="00C6352D"/>
    <w:rsid w:val="00C7274A"/>
    <w:rsid w:val="00C73715"/>
    <w:rsid w:val="00C767B7"/>
    <w:rsid w:val="00C90DE1"/>
    <w:rsid w:val="00C91F43"/>
    <w:rsid w:val="00CA19B7"/>
    <w:rsid w:val="00CA5EF6"/>
    <w:rsid w:val="00CB323B"/>
    <w:rsid w:val="00CB5CAA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6303F"/>
    <w:rsid w:val="00F64A1C"/>
    <w:rsid w:val="00F7051B"/>
    <w:rsid w:val="00F75965"/>
    <w:rsid w:val="00F80646"/>
    <w:rsid w:val="00F8363E"/>
    <w:rsid w:val="00FA7D4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3AAC-D08B-4DF8-900B-43E3BDF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39</cp:revision>
  <cp:lastPrinted>2017-05-11T17:11:00Z</cp:lastPrinted>
  <dcterms:created xsi:type="dcterms:W3CDTF">2023-05-19T14:52:00Z</dcterms:created>
  <dcterms:modified xsi:type="dcterms:W3CDTF">2023-07-19T12:34:00Z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