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22F50" w:rsidRPr="00AF3DDC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2CE5B393" w:rsidR="0053398C" w:rsidRPr="00AF3DDC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COMISSÃO </w:t>
            </w:r>
            <w:r w:rsidR="00A84DA7" w:rsidRPr="00AF3DD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 POLÍTICA URBANA E AMBIENTAL</w:t>
            </w:r>
          </w:p>
          <w:p w14:paraId="0E50B5AD" w14:textId="09D6C487" w:rsidR="00D673DB" w:rsidRPr="00AF3DDC" w:rsidRDefault="00D673DB" w:rsidP="00AC29C5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AF3DDC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Nº </w:t>
            </w:r>
            <w:r w:rsidR="00D514AD" w:rsidRPr="00AF3DDC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13EFE" w:rsidRPr="00AF3DDC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D22F50" w:rsidRPr="00AF3DDC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514AD" w:rsidRPr="00AF3DDC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.1.</w:t>
            </w:r>
            <w:r w:rsidR="008E16A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D514AD" w:rsidRPr="00AF3DDC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1D5463" w:rsidRPr="00AF3DDC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</w:tbl>
    <w:p w14:paraId="4DFB29E4" w14:textId="2CE75419" w:rsidR="002A57A5" w:rsidRPr="00AF3DDC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22F50" w:rsidRPr="00AF3DDC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AF3DDC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AF3DDC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11F6E9C" w:rsidR="0053398C" w:rsidRPr="00AF3DDC" w:rsidRDefault="00313EFE" w:rsidP="005A1486">
            <w:pPr>
              <w:suppressLineNumbers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AF3DD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Protocolo </w:t>
            </w:r>
            <w:r w:rsidR="00504C51" w:rsidRPr="00504C51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1788509</w:t>
            </w:r>
            <w:r w:rsidRPr="00504C51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D22F50" w:rsidRPr="00AF3DDC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AF3DDC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71A3B99" w:rsidR="0053398C" w:rsidRPr="00AF3DDC" w:rsidRDefault="0015682A" w:rsidP="00D514AD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Presidência</w:t>
            </w:r>
            <w:r w:rsidR="00D514AD" w:rsidRPr="00AF3DD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do CAU/M</w:t>
            </w:r>
            <w:r w:rsidR="00D22F50" w:rsidRPr="00AF3DD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G, Gerência de Planejamento CAU/MG</w:t>
            </w:r>
            <w:r w:rsidR="00AF3DDC" w:rsidRPr="00AF3DD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22F50" w:rsidRPr="00AF3DDC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AF3DDC" w:rsidRDefault="0053398C" w:rsidP="005A1486">
            <w:pPr>
              <w:suppressLineNumbers/>
              <w:jc w:val="both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bookmarkStart w:id="0" w:name="_Hlk65249485"/>
            <w:r w:rsidRPr="00AF3DDC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760C484" w:rsidR="0053398C" w:rsidRPr="00AF3DDC" w:rsidRDefault="00AF3DDC" w:rsidP="00D514AD">
            <w:pPr>
              <w:suppressLineNumbers/>
              <w:jc w:val="both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AF3DDC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SOLICITAÇÃO DE CONTATO COM FUNDAÇÃO ISRAEL PINHEIRO</w:t>
            </w:r>
          </w:p>
        </w:tc>
      </w:tr>
      <w:bookmarkEnd w:id="0"/>
    </w:tbl>
    <w:p w14:paraId="202E296E" w14:textId="77777777" w:rsidR="00313EFE" w:rsidRPr="00AF3DDC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834AFCE" w14:textId="53E1CC02" w:rsidR="008B36A9" w:rsidRPr="00AF3DD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r w:rsidR="00A84DA7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COMISSÃO DE POLÍTICA URBANA E AMBIENTAL </w:t>
      </w:r>
      <w:r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–</w:t>
      </w:r>
      <w:r w:rsidR="001D5463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</w:t>
      </w:r>
      <w:r w:rsidR="00A84DA7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PU</w:t>
      </w:r>
      <w:r w:rsidR="001D5463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r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-CAU/MG, </w:t>
      </w:r>
      <w:r w:rsidR="00D514AD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reunida ordinariamente em ambiente virtual, através de videoconferência, no dia </w:t>
      </w:r>
      <w:r w:rsidR="00313EFE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1</w:t>
      </w:r>
      <w:r w:rsidR="00D22F50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1</w:t>
      </w:r>
      <w:r w:rsidR="00D514AD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D22F50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julho</w:t>
      </w:r>
      <w:r w:rsidR="00313EFE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D514AD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de 2023</w:t>
      </w:r>
      <w:r w:rsidR="001D5463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r w:rsidR="0053398C"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no uso das competências normativas e regimentais, </w:t>
      </w:r>
      <w:r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após análise do assunto em epígrafe, e</w:t>
      </w:r>
    </w:p>
    <w:p w14:paraId="72FB5958" w14:textId="77777777" w:rsidR="003B51DE" w:rsidRPr="00AF3DDC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21C6DB4" w14:textId="77777777" w:rsidR="003B51DE" w:rsidRPr="00AF3DDC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Considerando o disposto no Regimento Interno do CAU/MG:</w:t>
      </w:r>
    </w:p>
    <w:p w14:paraId="137AEAB0" w14:textId="77777777" w:rsidR="00D514AD" w:rsidRPr="00AF3DDC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AF3DDC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 Política Urbana e Ambiental do CAU/MG (CPUA-CAU/MG), no âmbito de sua competência:</w:t>
      </w:r>
    </w:p>
    <w:p w14:paraId="6D8A0BAC" w14:textId="77777777" w:rsidR="00D514AD" w:rsidRPr="00AF3DDC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AF3DDC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(...)</w:t>
      </w:r>
    </w:p>
    <w:p w14:paraId="26BF6BE6" w14:textId="63EEA5FD" w:rsidR="00D514AD" w:rsidRPr="00AF3DDC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AF3DDC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V - </w:t>
      </w:r>
      <w:proofErr w:type="gramStart"/>
      <w:r w:rsidRPr="00AF3DDC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propor</w:t>
      </w:r>
      <w:proofErr w:type="gramEnd"/>
      <w:r w:rsidRPr="00AF3DDC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, apreciar e deliberar sobre diretrizes e ações para difusão e valorização de política urbana, metropolitana e ambiental junto aos órgãos governamentais e de gestão e à sociedade civil organizada;</w:t>
      </w:r>
    </w:p>
    <w:p w14:paraId="10B70D9E" w14:textId="77777777" w:rsidR="0053398C" w:rsidRPr="00AF3DDC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EC96D50" w14:textId="3B6EAC7A" w:rsidR="00313EFE" w:rsidRPr="00AF3DDC" w:rsidRDefault="00D22F50" w:rsidP="00313EFE">
      <w:pPr>
        <w:shd w:val="clear" w:color="auto" w:fill="FFFFFF"/>
        <w:suppressAutoHyphens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Considerando a Deliberação</w:t>
      </w:r>
      <w:r w:rsidRPr="00AF3DD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hyperlink r:id="rId8" w:history="1">
        <w:r w:rsidRPr="00AF3DDC">
          <w:rPr>
            <w:rStyle w:val="Hyperlink"/>
            <w:rFonts w:asciiTheme="majorHAnsi" w:eastAsia="Calibri" w:hAnsiTheme="majorHAnsi"/>
            <w:color w:val="000000" w:themeColor="text1"/>
            <w:sz w:val="20"/>
            <w:szCs w:val="20"/>
          </w:rPr>
          <w:t>DCPUA-CAU/MG n° 79.2.2</w:t>
        </w:r>
      </w:hyperlink>
      <w:r w:rsidRPr="00AF3DD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r w:rsidRPr="00AF3DDC">
        <w:rPr>
          <w:rFonts w:asciiTheme="majorHAnsi" w:hAnsiTheme="majorHAnsi" w:cs="Times New Roman"/>
          <w:color w:val="000000" w:themeColor="text1"/>
          <w:sz w:val="20"/>
          <w:szCs w:val="20"/>
        </w:rPr>
        <w:t>que reformulou o seu Plano de Ação, de forma a deixá-lo mais legível e exequível.</w:t>
      </w:r>
    </w:p>
    <w:p w14:paraId="47C36A14" w14:textId="77777777" w:rsidR="00313EFE" w:rsidRPr="00AF3DDC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E870E7E" w14:textId="6DE42AEC" w:rsidR="00D22F50" w:rsidRPr="00AF3DDC" w:rsidRDefault="00D22F50" w:rsidP="00D22F50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AF3DDC">
        <w:rPr>
          <w:rFonts w:asciiTheme="majorHAnsi" w:hAnsiTheme="majorHAnsi"/>
          <w:color w:val="000000" w:themeColor="text1"/>
          <w:sz w:val="20"/>
          <w:szCs w:val="20"/>
        </w:rPr>
        <w:t xml:space="preserve">Considerando a existência da ação seguinte ação no Plano de Ação da CPUA-CAU/MG e do CAU/MG: </w:t>
      </w:r>
      <w:r w:rsidRPr="00AF3DDC">
        <w:rPr>
          <w:rFonts w:asciiTheme="majorHAnsi" w:hAnsiTheme="majorHAnsi"/>
          <w:sz w:val="20"/>
          <w:szCs w:val="20"/>
        </w:rPr>
        <w:t xml:space="preserve">AÇÃO: </w:t>
      </w:r>
      <w:r w:rsidR="00AF3DDC" w:rsidRPr="00AF3DDC">
        <w:rPr>
          <w:rFonts w:asciiTheme="majorHAnsi" w:hAnsiTheme="majorHAnsi"/>
          <w:sz w:val="20"/>
          <w:szCs w:val="20"/>
        </w:rPr>
        <w:t>1.4.5 – PROPOR EDITAIS OU CONVÊNIOS PARA QUALIFICAR E CAPACITAR PROFISSIONAIS ARQUITETOS(AS) E URBANISTAS PARA ATUAR EM REGULARIZAÇÃO FUNDIÁRIA.</w:t>
      </w:r>
    </w:p>
    <w:p w14:paraId="64A80902" w14:textId="77777777" w:rsidR="00AF3DDC" w:rsidRPr="00AF3DDC" w:rsidRDefault="00AF3DDC" w:rsidP="00D22F50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hAnsiTheme="majorHAnsi"/>
          <w:sz w:val="20"/>
          <w:szCs w:val="20"/>
        </w:rPr>
      </w:pPr>
    </w:p>
    <w:p w14:paraId="7EF60686" w14:textId="46A1BE0A" w:rsidR="00AF3DDC" w:rsidRPr="00AF3DDC" w:rsidRDefault="00AF3DDC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AF3DDC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Considerando a Cartilha “</w:t>
      </w:r>
      <w:hyperlink r:id="rId9" w:history="1">
        <w:r w:rsidRPr="00AF3DDC">
          <w:rPr>
            <w:rStyle w:val="Hyperlink"/>
            <w:rFonts w:asciiTheme="majorHAnsi" w:eastAsia="Calibri" w:hAnsiTheme="majorHAnsi"/>
            <w:sz w:val="20"/>
            <w:szCs w:val="20"/>
            <w:lang w:eastAsia="en-US"/>
          </w:rPr>
          <w:t>REGULARIZAÇÃO FUNDIÁRIA, CIDADANIA E DESENVOLVIMENTO NA REGIÃO METROPOLITANA DE BH</w:t>
        </w:r>
      </w:hyperlink>
      <w:r w:rsidRPr="00AF3DDC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” elaborada pela </w:t>
      </w:r>
      <w:r w:rsidRPr="00AF3DDC">
        <w:rPr>
          <w:rFonts w:asciiTheme="majorHAnsi" w:hAnsiTheme="majorHAnsi"/>
          <w:sz w:val="20"/>
          <w:szCs w:val="20"/>
        </w:rPr>
        <w:t>FUNDAÇÃO ISRAEL PINHEIRO com patrocínio do CAU/MG.</w:t>
      </w:r>
    </w:p>
    <w:p w14:paraId="3F653698" w14:textId="77777777" w:rsidR="00AF3DDC" w:rsidRPr="00AF3DDC" w:rsidRDefault="00AF3DDC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31762F21" w14:textId="679BC1A1" w:rsidR="00AF3DDC" w:rsidRPr="00AF3DDC" w:rsidRDefault="00AF3DDC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AF3DDC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Considerando a existência de </w:t>
      </w:r>
      <w:hyperlink r:id="rId10" w:history="1">
        <w:r w:rsidRPr="00AF3DDC">
          <w:rPr>
            <w:rStyle w:val="Hyperlink"/>
            <w:rFonts w:asciiTheme="majorHAnsi" w:hAnsiTheme="majorHAnsi"/>
            <w:sz w:val="20"/>
            <w:szCs w:val="20"/>
          </w:rPr>
          <w:t>termo de cooperação</w:t>
        </w:r>
      </w:hyperlink>
      <w:r w:rsidRPr="00AF3DDC">
        <w:rPr>
          <w:rFonts w:asciiTheme="majorHAnsi" w:hAnsiTheme="majorHAnsi"/>
          <w:sz w:val="20"/>
          <w:szCs w:val="20"/>
        </w:rPr>
        <w:t xml:space="preserve"> do CAU/MG com a FUNDAÇÃO ISRAEL PINHEIRO com patrocínio do CAU/MG.</w:t>
      </w:r>
    </w:p>
    <w:p w14:paraId="3A62B0C8" w14:textId="77777777" w:rsidR="00313EFE" w:rsidRPr="00AF3DDC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p w14:paraId="7B72B2BF" w14:textId="7F17E966" w:rsidR="00513883" w:rsidRPr="00AF3DD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AF3DDC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2C0A9283" w14:textId="3E5DFA6E" w:rsidR="00AF3DDC" w:rsidRPr="00AF3DDC" w:rsidRDefault="00D22F50" w:rsidP="00AF3DDC">
      <w:pPr>
        <w:pStyle w:val="paragraph"/>
        <w:numPr>
          <w:ilvl w:val="0"/>
          <w:numId w:val="6"/>
        </w:numPr>
        <w:jc w:val="both"/>
        <w:textAlignment w:val="baseline"/>
        <w:rPr>
          <w:rFonts w:asciiTheme="majorHAnsi" w:eastAsia="Calibri" w:hAnsiTheme="majorHAnsi"/>
          <w:bCs/>
          <w:sz w:val="20"/>
          <w:szCs w:val="20"/>
        </w:rPr>
      </w:pPr>
      <w:r w:rsidRPr="00AF3DDC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 xml:space="preserve">Solicitar </w:t>
      </w:r>
      <w:r w:rsidR="00AF3DDC" w:rsidRPr="00AF3DDC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 xml:space="preserve">à Gerente de Planejamento </w:t>
      </w:r>
      <w:r w:rsidR="00AF3DDC" w:rsidRPr="00AF3DDC">
        <w:rPr>
          <w:rStyle w:val="normaltextrun"/>
          <w:rFonts w:asciiTheme="majorHAnsi" w:eastAsia="Calibri" w:hAnsiTheme="majorHAnsi"/>
          <w:bCs/>
          <w:sz w:val="20"/>
          <w:szCs w:val="20"/>
        </w:rPr>
        <w:t xml:space="preserve">que realize contato com a </w:t>
      </w:r>
      <w:r w:rsidR="00AF3DDC" w:rsidRPr="00AF3DDC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 xml:space="preserve">FUNDAÇÃO ISRAEL PINHEIRO, com objetivo de verificar se esta Fundação possui a disponibilidade e capacidade para promover um curso de capacitação de Regularização Fundiária Urbana a ser ofertada aos arquitetos de Minas Gerais, com o seguinte Conteúdo Programático: </w:t>
      </w:r>
      <w:r w:rsidR="00AF3DDC" w:rsidRPr="00AF3DDC">
        <w:rPr>
          <w:rStyle w:val="normaltextrun"/>
          <w:rFonts w:asciiTheme="majorHAnsi" w:eastAsia="Calibri" w:hAnsiTheme="majorHAnsi"/>
          <w:bCs/>
          <w:sz w:val="20"/>
          <w:szCs w:val="20"/>
        </w:rPr>
        <w:t>Aula 1 – INTRODUÇÃO LEGISLATIVA e CONCEITOS GERAIS da REGULARIZAÇÃO FUNDIÁRIA; Aula 2: PROCEDIMENTOS DE AVALIAÇÃO E ALIENAÇÃO DE IMÓVEIS DA UNIÃO; Aula 3: INSTRUMENTOS DE REURBS; Aula 4: REGULARIZAÇÃO FUNDIÁRIA EM ÁREA AMBIENTAL; Aula 5 – PROJETOS, PROCEDIMENTOS DE REGULARIZAÇÃO FUNDIÁRIA; Aula 6 – ATHIS EM PROJETOS DE REURBS; Aula 7: REGISTRO PÚBLICO EM REURB I; Aula 8: REGISTRO PÚBLICO EM REURB II.</w:t>
      </w:r>
    </w:p>
    <w:p w14:paraId="252F07C9" w14:textId="3D7A6DBA" w:rsidR="00313EFE" w:rsidRPr="00AF3DDC" w:rsidRDefault="00AF3DDC" w:rsidP="00AF3DDC">
      <w:pPr>
        <w:pStyle w:val="PargrafodaLista"/>
        <w:numPr>
          <w:ilvl w:val="0"/>
          <w:numId w:val="6"/>
        </w:numPr>
        <w:rPr>
          <w:rFonts w:asciiTheme="majorHAnsi" w:eastAsia="Calibri" w:hAnsiTheme="majorHAnsi"/>
          <w:bCs/>
          <w:color w:val="000000" w:themeColor="text1"/>
          <w:sz w:val="20"/>
          <w:szCs w:val="20"/>
        </w:rPr>
      </w:pPr>
      <w:r w:rsidRPr="00AF3DDC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>Solicitar o retorno desta demanda até, no máximo, dia 09/08/2023, durante a reunião ordinária da CPUA-CAU/MG.</w:t>
      </w:r>
    </w:p>
    <w:p w14:paraId="23ED122F" w14:textId="2E840603" w:rsidR="00CE53C1" w:rsidRPr="00AF3DDC" w:rsidRDefault="00CE53C1" w:rsidP="00313EFE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AF3DDC">
        <w:rPr>
          <w:rFonts w:asciiTheme="majorHAnsi" w:hAnsiTheme="majorHAnsi"/>
          <w:color w:val="000000" w:themeColor="text1"/>
          <w:sz w:val="20"/>
          <w:szCs w:val="20"/>
        </w:rPr>
        <w:t>Proceder aos seguintes encaminhamentos desta deliberação: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D22F50" w:rsidRPr="00AF3DDC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AF3DDC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AF3DDC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AF3DDC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AF3DDC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D22F50" w:rsidRPr="00AF3DDC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AF3DDC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D846030" w:rsidR="00CE53C1" w:rsidRPr="00AF3DDC" w:rsidRDefault="00D514AD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Presidência</w:t>
            </w:r>
          </w:p>
        </w:tc>
        <w:tc>
          <w:tcPr>
            <w:tcW w:w="5528" w:type="dxa"/>
            <w:vAlign w:val="center"/>
          </w:tcPr>
          <w:p w14:paraId="69786848" w14:textId="02532EE6" w:rsidR="00CE53C1" w:rsidRPr="00AF3DDC" w:rsidRDefault="00313EFE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Conhecimento</w:t>
            </w:r>
          </w:p>
        </w:tc>
        <w:tc>
          <w:tcPr>
            <w:tcW w:w="1410" w:type="dxa"/>
            <w:vAlign w:val="center"/>
          </w:tcPr>
          <w:p w14:paraId="4B457583" w14:textId="6D1D30FE" w:rsidR="00CE53C1" w:rsidRPr="00AF3DDC" w:rsidRDefault="00313EFE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 dias</w:t>
            </w:r>
          </w:p>
        </w:tc>
      </w:tr>
      <w:tr w:rsidR="00D22F50" w:rsidRPr="00AF3DDC" w14:paraId="099DBB9D" w14:textId="77777777" w:rsidTr="009A783B">
        <w:tc>
          <w:tcPr>
            <w:tcW w:w="628" w:type="dxa"/>
            <w:vAlign w:val="center"/>
          </w:tcPr>
          <w:p w14:paraId="0E9BC2C7" w14:textId="1857D275" w:rsidR="00D22F50" w:rsidRPr="00AF3DDC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88C0EFC" w14:textId="5468091B" w:rsidR="00D22F50" w:rsidRPr="00AF3DDC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GEPLAN-CAU/MG</w:t>
            </w:r>
          </w:p>
        </w:tc>
        <w:tc>
          <w:tcPr>
            <w:tcW w:w="5528" w:type="dxa"/>
            <w:vAlign w:val="center"/>
          </w:tcPr>
          <w:p w14:paraId="00277FFD" w14:textId="0E627735" w:rsidR="00D22F50" w:rsidRPr="00AF3DDC" w:rsidRDefault="00AF3DDC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Realizar o Contato com a Fundação Israel Pinheiro nos termos da Deliberação. </w:t>
            </w:r>
          </w:p>
        </w:tc>
        <w:tc>
          <w:tcPr>
            <w:tcW w:w="1410" w:type="dxa"/>
            <w:vAlign w:val="center"/>
          </w:tcPr>
          <w:p w14:paraId="0665C75C" w14:textId="74170DE9" w:rsidR="00D22F50" w:rsidRPr="00AF3DDC" w:rsidRDefault="00D22F50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 dias</w:t>
            </w:r>
          </w:p>
        </w:tc>
      </w:tr>
    </w:tbl>
    <w:p w14:paraId="65295F20" w14:textId="02E33D55" w:rsidR="00CE53C1" w:rsidRPr="00AF3DDC" w:rsidRDefault="00D22F50" w:rsidP="00D22F50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AF3DDC">
        <w:rPr>
          <w:rFonts w:asciiTheme="majorHAnsi" w:hAnsiTheme="majorHAnsi"/>
          <w:color w:val="000000" w:themeColor="text1"/>
          <w:sz w:val="20"/>
          <w:szCs w:val="20"/>
        </w:rPr>
        <w:t>X</w:t>
      </w:r>
    </w:p>
    <w:p w14:paraId="42752BE0" w14:textId="24210831" w:rsidR="00D22F50" w:rsidRPr="00AF3DDC" w:rsidRDefault="00D22F50" w:rsidP="00D22F50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AF3DDC">
        <w:rPr>
          <w:rFonts w:asciiTheme="majorHAnsi" w:hAnsiTheme="majorHAnsi"/>
          <w:color w:val="000000" w:themeColor="text1"/>
          <w:sz w:val="20"/>
          <w:szCs w:val="20"/>
        </w:rPr>
        <w:t>X</w:t>
      </w:r>
    </w:p>
    <w:p w14:paraId="28EC0203" w14:textId="0115F134" w:rsidR="00D22F50" w:rsidRPr="00AF3DDC" w:rsidRDefault="00D22F50" w:rsidP="00D22F50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AF3DDC">
        <w:rPr>
          <w:rFonts w:asciiTheme="majorHAnsi" w:hAnsiTheme="majorHAnsi"/>
          <w:color w:val="000000" w:themeColor="text1"/>
          <w:sz w:val="20"/>
          <w:szCs w:val="20"/>
        </w:rPr>
        <w:t>X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D22F50" w:rsidRPr="00AF3DDC" w14:paraId="11C0A722" w14:textId="77777777" w:rsidTr="005A1486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0E37790D" w:rsidR="00CE53C1" w:rsidRPr="00AF3DDC" w:rsidRDefault="00D514AD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 xml:space="preserve">COMISSÃO DE POLÍTICA URBANA E AMBIENTAL </w:t>
            </w:r>
            <w:r w:rsidR="00CE53C1" w:rsidRPr="00AF3DD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DO CAU/MG</w:t>
            </w:r>
          </w:p>
          <w:p w14:paraId="3CCCA41C" w14:textId="77777777" w:rsidR="00CE53C1" w:rsidRPr="00AF3DDC" w:rsidRDefault="00CE53C1" w:rsidP="005A148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D22F50" w:rsidRPr="00AF3DDC" w14:paraId="1BED26F5" w14:textId="77777777" w:rsidTr="00D22F50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F3DDC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F3DDC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F3DDC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F3DDC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F3DDC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D22F50" w:rsidRPr="00AF3DDC" w14:paraId="4EBA52D1" w14:textId="77777777" w:rsidTr="00D22F50">
        <w:trPr>
          <w:trHeight w:val="337"/>
        </w:trPr>
        <w:tc>
          <w:tcPr>
            <w:tcW w:w="5076" w:type="dxa"/>
            <w:vAlign w:val="center"/>
          </w:tcPr>
          <w:p w14:paraId="73FC3A20" w14:textId="05B53C79" w:rsidR="00CE53C1" w:rsidRPr="00AF3DDC" w:rsidRDefault="00A84DA7" w:rsidP="00A84DA7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Fábio Almeida Vieira </w:t>
            </w:r>
            <w:r w:rsidR="00185BE8" w:rsidRPr="00AF3DDC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AF3DDC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E4ED583" w14:textId="56B668A4" w:rsidR="00CE53C1" w:rsidRPr="00AF3DDC" w:rsidRDefault="00A84DA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161CE0B" w14:textId="77777777" w:rsidR="00CE53C1" w:rsidRPr="00AF3DDC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02A5277" w14:textId="77777777" w:rsidR="00CE53C1" w:rsidRPr="00AF3DDC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2AA6A3C" w14:textId="2ED937F7" w:rsidR="00CE53C1" w:rsidRPr="00AF3DDC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22F50" w:rsidRPr="00AF3DDC" w14:paraId="7A28EB1B" w14:textId="77777777" w:rsidTr="00D22F50">
        <w:trPr>
          <w:trHeight w:val="337"/>
        </w:trPr>
        <w:tc>
          <w:tcPr>
            <w:tcW w:w="5076" w:type="dxa"/>
            <w:vAlign w:val="center"/>
          </w:tcPr>
          <w:p w14:paraId="5D07FFA7" w14:textId="7413B0C3" w:rsidR="00CE53C1" w:rsidRPr="00AF3DDC" w:rsidRDefault="00A84DA7" w:rsidP="005A1486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Mariana Fernandes Teixeira – </w:t>
            </w:r>
            <w:r w:rsidRPr="00AF3DDC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Coord. Adjunta</w:t>
            </w:r>
          </w:p>
        </w:tc>
        <w:tc>
          <w:tcPr>
            <w:tcW w:w="1272" w:type="dxa"/>
            <w:vAlign w:val="center"/>
          </w:tcPr>
          <w:p w14:paraId="16E7A0CF" w14:textId="613D866A" w:rsidR="00CE53C1" w:rsidRPr="00AF3DDC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F3D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4F10D155" w14:textId="77777777" w:rsidR="00CE53C1" w:rsidRPr="00AF3DDC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33B8331" w14:textId="77777777" w:rsidR="00CE53C1" w:rsidRPr="00AF3DDC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D24DC6C" w14:textId="77777777" w:rsidR="00CE53C1" w:rsidRPr="00AF3DDC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735ADFFB" w14:textId="77777777" w:rsidR="00CE53C1" w:rsidRPr="00AF3DDC" w:rsidRDefault="00CE53C1" w:rsidP="00CE53C1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004F8989" w14:textId="33FD4033" w:rsidR="00CE53C1" w:rsidRPr="00AF3DDC" w:rsidRDefault="00CE53C1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AF3DDC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</w:t>
      </w:r>
      <w:r w:rsidR="00D514AD"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Comissão de Política Urbana e Ambiental </w:t>
      </w:r>
      <w:r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do CAU/MG</w:t>
      </w:r>
    </w:p>
    <w:p w14:paraId="065C0F3C" w14:textId="77777777" w:rsidR="00CE53C1" w:rsidRPr="00AF3DDC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04015E23" w14:textId="77777777" w:rsidR="009B6F7F" w:rsidRPr="00AF3DDC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60AA403E" w14:textId="77777777" w:rsidR="00A84DA7" w:rsidRPr="00AF3DDC" w:rsidRDefault="00A84DA7" w:rsidP="00D22F50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514309D8" w14:textId="77777777" w:rsidR="00CE53C1" w:rsidRPr="00AF3DDC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3DD7A93" w14:textId="77777777" w:rsidR="00CE53C1" w:rsidRPr="00AF3DDC" w:rsidRDefault="00CE53C1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2AA13CF1" w14:textId="25F17D5C" w:rsidR="00185BE8" w:rsidRPr="00AF3DDC" w:rsidRDefault="00A84DA7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AF3DD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 Almeida Vieira</w:t>
      </w:r>
    </w:p>
    <w:p w14:paraId="442799D4" w14:textId="019F05C0" w:rsidR="00CE53C1" w:rsidRPr="00AF3DDC" w:rsidRDefault="00A84DA7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2D35E18E" w14:textId="77777777" w:rsidR="001E433B" w:rsidRPr="00AF3DDC" w:rsidRDefault="001E433B" w:rsidP="001E433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54DCDCBD" w14:textId="77777777" w:rsidR="00CE53C1" w:rsidRPr="00AF3DDC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387AE018" w14:textId="77777777" w:rsidR="00513883" w:rsidRPr="00AF3DDC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343AA4E" w14:textId="77777777" w:rsidR="00D514AD" w:rsidRPr="00AF3DDC" w:rsidRDefault="00D514AD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5CF3B825" w14:textId="77777777" w:rsidR="00513883" w:rsidRPr="00AF3DDC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CEC4740" w14:textId="77777777" w:rsidR="00513883" w:rsidRPr="00AF3DDC" w:rsidRDefault="00513883" w:rsidP="00513883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5F7613A0" w14:textId="06141905" w:rsidR="00513883" w:rsidRPr="00AF3DDC" w:rsidRDefault="00313EFE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AF3DD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4FDBD5DD" w14:textId="03050E0B" w:rsidR="00513883" w:rsidRPr="00AF3DDC" w:rsidRDefault="00513883" w:rsidP="00513883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</w:t>
      </w:r>
      <w:r w:rsidR="0015682A"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o</w:t>
      </w:r>
      <w:r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Analista – Assessor Técnic</w:t>
      </w:r>
      <w:r w:rsidR="0015682A"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o</w:t>
      </w:r>
    </w:p>
    <w:p w14:paraId="6626FE82" w14:textId="5FDF2058" w:rsidR="00847F8D" w:rsidRPr="00AF3DDC" w:rsidRDefault="001E433B" w:rsidP="001E433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AF3DD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0DE8CC34" w14:textId="428D0AD3" w:rsidR="00847F8D" w:rsidRPr="00AF3DDC" w:rsidRDefault="00847F8D" w:rsidP="00313EFE">
      <w:pPr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sectPr w:rsidR="00847F8D" w:rsidRPr="00AF3DDC">
      <w:headerReference w:type="default" r:id="rId11"/>
      <w:footerReference w:type="default" r:id="rId12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CB5D" w14:textId="77777777" w:rsidR="00E8569B" w:rsidRDefault="00E8569B">
      <w:r>
        <w:separator/>
      </w:r>
    </w:p>
  </w:endnote>
  <w:endnote w:type="continuationSeparator" w:id="0">
    <w:p w14:paraId="51E27957" w14:textId="77777777" w:rsidR="00E8569B" w:rsidRDefault="00E8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5A1486" w:rsidRDefault="005A148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C565" w14:textId="77777777" w:rsidR="00E8569B" w:rsidRDefault="00E8569B">
      <w:r>
        <w:separator/>
      </w:r>
    </w:p>
  </w:footnote>
  <w:footnote w:type="continuationSeparator" w:id="0">
    <w:p w14:paraId="038AA2F9" w14:textId="77777777" w:rsidR="00E8569B" w:rsidRDefault="00E8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5A1486" w:rsidRDefault="005A148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A3651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115F5D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750111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2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5F940664"/>
    <w:multiLevelType w:val="hybridMultilevel"/>
    <w:tmpl w:val="4042B422"/>
    <w:lvl w:ilvl="0" w:tplc="90F6BB12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24D6210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9" w15:restartNumberingAfterBreak="0">
    <w:nsid w:val="6A8D71B5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E0132"/>
    <w:multiLevelType w:val="hybridMultilevel"/>
    <w:tmpl w:val="459AACDE"/>
    <w:lvl w:ilvl="0" w:tplc="7564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8" w15:restartNumberingAfterBreak="0">
    <w:nsid w:val="79CA7CC6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751016">
    <w:abstractNumId w:val="31"/>
  </w:num>
  <w:num w:numId="2" w16cid:durableId="1043753469">
    <w:abstractNumId w:val="47"/>
  </w:num>
  <w:num w:numId="3" w16cid:durableId="1097947126">
    <w:abstractNumId w:val="23"/>
  </w:num>
  <w:num w:numId="4" w16cid:durableId="1169170991">
    <w:abstractNumId w:val="37"/>
  </w:num>
  <w:num w:numId="5" w16cid:durableId="759522008">
    <w:abstractNumId w:val="9"/>
  </w:num>
  <w:num w:numId="6" w16cid:durableId="1331057380">
    <w:abstractNumId w:val="29"/>
  </w:num>
  <w:num w:numId="7" w16cid:durableId="2019848882">
    <w:abstractNumId w:val="2"/>
  </w:num>
  <w:num w:numId="8" w16cid:durableId="831487175">
    <w:abstractNumId w:val="35"/>
  </w:num>
  <w:num w:numId="9" w16cid:durableId="739401590">
    <w:abstractNumId w:val="8"/>
  </w:num>
  <w:num w:numId="10" w16cid:durableId="939485930">
    <w:abstractNumId w:val="7"/>
  </w:num>
  <w:num w:numId="11" w16cid:durableId="2087723250">
    <w:abstractNumId w:val="21"/>
  </w:num>
  <w:num w:numId="12" w16cid:durableId="152991792">
    <w:abstractNumId w:val="3"/>
  </w:num>
  <w:num w:numId="13" w16cid:durableId="2130977173">
    <w:abstractNumId w:val="17"/>
  </w:num>
  <w:num w:numId="14" w16cid:durableId="553614580">
    <w:abstractNumId w:val="22"/>
  </w:num>
  <w:num w:numId="15" w16cid:durableId="222956790">
    <w:abstractNumId w:val="16"/>
  </w:num>
  <w:num w:numId="16" w16cid:durableId="1617829332">
    <w:abstractNumId w:val="27"/>
  </w:num>
  <w:num w:numId="17" w16cid:durableId="1504778774">
    <w:abstractNumId w:val="18"/>
  </w:num>
  <w:num w:numId="18" w16cid:durableId="1284964558">
    <w:abstractNumId w:val="5"/>
  </w:num>
  <w:num w:numId="19" w16cid:durableId="392118521">
    <w:abstractNumId w:val="41"/>
  </w:num>
  <w:num w:numId="20" w16cid:durableId="1489512021">
    <w:abstractNumId w:val="10"/>
  </w:num>
  <w:num w:numId="21" w16cid:durableId="845443892">
    <w:abstractNumId w:val="28"/>
  </w:num>
  <w:num w:numId="22" w16cid:durableId="1160269040">
    <w:abstractNumId w:val="24"/>
  </w:num>
  <w:num w:numId="23" w16cid:durableId="2003849636">
    <w:abstractNumId w:val="25"/>
  </w:num>
  <w:num w:numId="24" w16cid:durableId="757944200">
    <w:abstractNumId w:val="13"/>
  </w:num>
  <w:num w:numId="25" w16cid:durableId="2044011550">
    <w:abstractNumId w:val="44"/>
  </w:num>
  <w:num w:numId="26" w16cid:durableId="1247495593">
    <w:abstractNumId w:val="43"/>
  </w:num>
  <w:num w:numId="27" w16cid:durableId="876049024">
    <w:abstractNumId w:val="15"/>
  </w:num>
  <w:num w:numId="28" w16cid:durableId="1790583657">
    <w:abstractNumId w:val="40"/>
  </w:num>
  <w:num w:numId="29" w16cid:durableId="1152336405">
    <w:abstractNumId w:val="0"/>
  </w:num>
  <w:num w:numId="30" w16cid:durableId="329984404">
    <w:abstractNumId w:val="11"/>
  </w:num>
  <w:num w:numId="31" w16cid:durableId="1898513314">
    <w:abstractNumId w:val="49"/>
  </w:num>
  <w:num w:numId="32" w16cid:durableId="310060646">
    <w:abstractNumId w:val="19"/>
  </w:num>
  <w:num w:numId="33" w16cid:durableId="191959816">
    <w:abstractNumId w:val="46"/>
  </w:num>
  <w:num w:numId="34" w16cid:durableId="1120495232">
    <w:abstractNumId w:val="45"/>
  </w:num>
  <w:num w:numId="35" w16cid:durableId="211886268">
    <w:abstractNumId w:val="14"/>
  </w:num>
  <w:num w:numId="36" w16cid:durableId="604775685">
    <w:abstractNumId w:val="32"/>
  </w:num>
  <w:num w:numId="37" w16cid:durableId="189147386">
    <w:abstractNumId w:val="42"/>
  </w:num>
  <w:num w:numId="38" w16cid:durableId="418406875">
    <w:abstractNumId w:val="12"/>
  </w:num>
  <w:num w:numId="39" w16cid:durableId="1482117998">
    <w:abstractNumId w:val="1"/>
  </w:num>
  <w:num w:numId="40" w16cid:durableId="2044481515">
    <w:abstractNumId w:val="20"/>
  </w:num>
  <w:num w:numId="41" w16cid:durableId="538516250">
    <w:abstractNumId w:val="38"/>
  </w:num>
  <w:num w:numId="42" w16cid:durableId="1350139039">
    <w:abstractNumId w:val="39"/>
  </w:num>
  <w:num w:numId="43" w16cid:durableId="2113814455">
    <w:abstractNumId w:val="48"/>
  </w:num>
  <w:num w:numId="44" w16cid:durableId="1966426132">
    <w:abstractNumId w:val="30"/>
  </w:num>
  <w:num w:numId="45" w16cid:durableId="1122116465">
    <w:abstractNumId w:val="33"/>
  </w:num>
  <w:num w:numId="46" w16cid:durableId="1196962175">
    <w:abstractNumId w:val="6"/>
  </w:num>
  <w:num w:numId="47" w16cid:durableId="256640119">
    <w:abstractNumId w:val="26"/>
  </w:num>
  <w:num w:numId="48" w16cid:durableId="15471134">
    <w:abstractNumId w:val="4"/>
  </w:num>
  <w:num w:numId="49" w16cid:durableId="1230191105">
    <w:abstractNumId w:val="34"/>
  </w:num>
  <w:num w:numId="50" w16cid:durableId="5695374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0465"/>
    <w:rsid w:val="00042ECB"/>
    <w:rsid w:val="00060F9C"/>
    <w:rsid w:val="00071088"/>
    <w:rsid w:val="0008057F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E433B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13EFE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1C0"/>
    <w:rsid w:val="004F390A"/>
    <w:rsid w:val="00504C51"/>
    <w:rsid w:val="00513883"/>
    <w:rsid w:val="005202A3"/>
    <w:rsid w:val="0053398C"/>
    <w:rsid w:val="00552B8A"/>
    <w:rsid w:val="00581A01"/>
    <w:rsid w:val="00585814"/>
    <w:rsid w:val="005A1486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856D9"/>
    <w:rsid w:val="007958C6"/>
    <w:rsid w:val="007A18F5"/>
    <w:rsid w:val="007C5270"/>
    <w:rsid w:val="007F1BD0"/>
    <w:rsid w:val="00834219"/>
    <w:rsid w:val="00845619"/>
    <w:rsid w:val="00847F8D"/>
    <w:rsid w:val="008724F5"/>
    <w:rsid w:val="00880ED6"/>
    <w:rsid w:val="008B36A9"/>
    <w:rsid w:val="008D38A8"/>
    <w:rsid w:val="008D6C47"/>
    <w:rsid w:val="008E16A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84DA7"/>
    <w:rsid w:val="00A95079"/>
    <w:rsid w:val="00AB4D4F"/>
    <w:rsid w:val="00AC29C5"/>
    <w:rsid w:val="00AC2C8D"/>
    <w:rsid w:val="00AF3DDC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BF4A78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22F50"/>
    <w:rsid w:val="00D514AD"/>
    <w:rsid w:val="00D54875"/>
    <w:rsid w:val="00D673DB"/>
    <w:rsid w:val="00DA6543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569B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2619"/>
    <w:rsid w:val="00F96261"/>
    <w:rsid w:val="00FA7D4D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qFormat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847F8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C29C5"/>
    <w:pPr>
      <w:suppressAutoHyphens w:val="0"/>
    </w:pPr>
    <w:rPr>
      <w:rFonts w:cs="Calibri"/>
      <w:sz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29C5"/>
    <w:rPr>
      <w:color w:val="605E5C"/>
      <w:shd w:val="clear" w:color="auto" w:fill="E1DFDD"/>
    </w:rPr>
  </w:style>
  <w:style w:type="paragraph" w:customStyle="1" w:styleId="paragraph">
    <w:name w:val="paragraph"/>
    <w:basedOn w:val="Normal"/>
    <w:qFormat/>
    <w:rsid w:val="00D22F50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3/05/20230508-DCPUAMG-079.2.2-2023-011-4a.-Revisao-do-Plano-de-Acao-do-Trienio-2021-2023_as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umg.gov.br/cau-mg-fundacao-israel-pinheiro-firmam-parce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israelpinheiro.org.br/wp-content/uploads/2019/05/RegularizacaoFundiaria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023F-36B0-47CD-8A77-60346D9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551</Words>
  <Characters>3434</Characters>
  <Application>Microsoft Office Word</Application>
  <DocSecurity>0</DocSecurity>
  <Lines>137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Etica CAU/MG</cp:lastModifiedBy>
  <cp:revision>22</cp:revision>
  <cp:lastPrinted>2021-04-01T20:08:00Z</cp:lastPrinted>
  <dcterms:created xsi:type="dcterms:W3CDTF">2023-01-18T09:55:00Z</dcterms:created>
  <dcterms:modified xsi:type="dcterms:W3CDTF">2023-07-12T17:21:00Z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