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="00D52F85" w:rsidRPr="00B005F9" w14:paraId="6B9DE102" w14:textId="77777777" w:rsidTr="0E1D9510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A661A" w14:textId="77777777" w:rsidR="003C549D" w:rsidRPr="00B005F9" w:rsidRDefault="00191B1A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14:paraId="589BC9E9" w14:textId="78821E64" w:rsidR="003C549D" w:rsidRPr="00B005F9" w:rsidRDefault="00191B1A">
            <w:pPr>
              <w:suppressLineNumbers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="00686AD9" w:rsidRPr="00B005F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DF7988" w:rsidRPr="00B005F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005F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="00D52F85" w:rsidRPr="00B005F9" w14:paraId="545A2CE7" w14:textId="77777777" w:rsidTr="0E1D9510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E031D" w14:textId="77777777" w:rsidR="003C549D" w:rsidRPr="00B005F9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52F85" w:rsidRPr="00B005F9" w14:paraId="26FEDACC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2796AB1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D52F85" w:rsidRPr="00B005F9" w14:paraId="0A49127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A1C9D6D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6D025DA" w14:textId="28C8C2F3" w:rsidR="003C549D" w:rsidRPr="00B005F9" w:rsidRDefault="00694532" w:rsidP="00694532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DF7988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4748F7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E041D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DF7988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novembro</w:t>
            </w:r>
            <w:r w:rsidR="00CE041D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  <w:tr w:rsidR="00D52F85" w:rsidRPr="00B005F9" w14:paraId="2136CEA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054F7EE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46B82380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="00D52F85" w:rsidRPr="00B005F9" w14:paraId="2B3FD9AA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EA1A3E5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2A1964E1" w14:textId="5592BC3C" w:rsidR="00686AD9" w:rsidRPr="00B005F9" w:rsidRDefault="00191B1A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Convocação: </w:t>
            </w:r>
            <w:r w:rsidR="00686AD9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h30min – 17h00min.</w:t>
            </w:r>
          </w:p>
        </w:tc>
      </w:tr>
      <w:tr w:rsidR="00D52F85" w:rsidRPr="00B005F9" w14:paraId="272E4D77" w14:textId="77777777" w:rsidTr="0E1D951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E2500" w14:textId="77777777" w:rsidR="003C549D" w:rsidRPr="00B005F9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B005F9" w14:paraId="637784DB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65E8740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D52F85" w:rsidRPr="00B005F9" w14:paraId="25B60C64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B30A0E5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95B25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D4A47EB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="00D52F85" w:rsidRPr="00B005F9" w14:paraId="65B8C620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403694" w14:textId="44C0F980" w:rsidR="003C549D" w:rsidRPr="00B005F9" w:rsidRDefault="1B47F3A2" w:rsidP="0E1D9510">
            <w:pPr>
              <w:suppressLineNumbers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37A92B9" w14:textId="2E7747F5" w:rsidR="003C549D" w:rsidRPr="00B005F9" w:rsidRDefault="002E30C3" w:rsidP="5713CD4E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bCs/>
                <w:color w:val="000000" w:themeColor="text1"/>
                <w:sz w:val="20"/>
                <w:szCs w:val="20"/>
              </w:rPr>
              <w:t>Matheus Lopes Medeiros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05B9D92" w14:textId="37215DD2" w:rsidR="003C549D" w:rsidRPr="00B005F9" w:rsidRDefault="00F83987" w:rsidP="5713CD4E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Membro Suplente</w:t>
            </w:r>
          </w:p>
        </w:tc>
      </w:tr>
      <w:tr w:rsidR="00D52F85" w:rsidRPr="00B005F9" w14:paraId="07FED695" w14:textId="77777777" w:rsidTr="0E1D9510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EEF264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CD58FE9" w14:textId="2C538AF1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Diogo U. Braga </w:t>
            </w:r>
          </w:p>
        </w:tc>
      </w:tr>
      <w:tr w:rsidR="00D52F85" w:rsidRPr="00B005F9" w14:paraId="3FF2D1DC" w14:textId="77777777" w:rsidTr="0E1D9510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ACC0C" w14:textId="77777777" w:rsidR="003C549D" w:rsidRPr="00B005F9" w:rsidRDefault="003C549D">
            <w:pPr>
              <w:suppressLineNumbers/>
              <w:jc w:val="both"/>
              <w:rPr>
                <w:rFonts w:asciiTheme="majorHAnsi" w:eastAsia="Calibr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B005F9" w14:paraId="2F582111" w14:textId="77777777" w:rsidTr="0E1D9510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169B52B" w14:textId="77777777" w:rsidR="003C549D" w:rsidRPr="00B005F9" w:rsidRDefault="00191B1A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DF7988" w:rsidRPr="00B005F9" w14:paraId="362477FF" w14:textId="77777777" w:rsidTr="0E1D9510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2D73375" w14:textId="77777777" w:rsidR="003C549D" w:rsidRPr="00B005F9" w:rsidRDefault="00191B1A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Verificação de quórum.</w:t>
            </w:r>
          </w:p>
          <w:p w14:paraId="64DDD1AA" w14:textId="77777777" w:rsidR="003C549D" w:rsidRPr="00B005F9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Comunicados:</w:t>
            </w:r>
          </w:p>
          <w:p w14:paraId="2CC14F82" w14:textId="77777777" w:rsidR="003C549D" w:rsidRPr="00B005F9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14:paraId="0F140585" w14:textId="77777777" w:rsidR="003C549D" w:rsidRPr="00B005F9" w:rsidRDefault="00191B1A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Ordem do Dia:</w:t>
            </w:r>
          </w:p>
          <w:p w14:paraId="464AD642" w14:textId="77777777" w:rsidR="00CF40D1" w:rsidRPr="00B005F9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14:paraId="400A767F" w14:textId="341A9754" w:rsidR="00CF40D1" w:rsidRPr="00B005F9" w:rsidRDefault="00CF40D1" w:rsidP="0E1D9510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AÇÃO: </w:t>
            </w:r>
            <w:r w:rsidR="0C4E2577"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1.5.13</w:t>
            </w: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– Articulação Com a CPUA-CAU/BR e CPUAS dos outros CAU/UF relacionadas a Políticas Urbanas.</w:t>
            </w:r>
          </w:p>
          <w:p w14:paraId="6C70BBC7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1.2.1.1 – Propor e acompanhar parcerias com instituições públicas e privadas.</w:t>
            </w:r>
          </w:p>
          <w:p w14:paraId="3BE0B2BC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14:paraId="3635B070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14:paraId="44BE7FDF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2.1.12.1 – Propor conteúdo de divulgação relativa a temáticas de competência da CPUA.</w:t>
            </w:r>
          </w:p>
          <w:p w14:paraId="5B3C56EA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14:paraId="34DF4519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3.1.13.1 – 4° Seminário Conjunto das Comissões Especiais (2023).</w:t>
            </w:r>
          </w:p>
          <w:p w14:paraId="746A8DBF" w14:textId="77777777" w:rsidR="00CF40D1" w:rsidRPr="00B005F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14:paraId="36CCC509" w14:textId="77777777" w:rsidR="00CF40D1" w:rsidRPr="00B005F9" w:rsidRDefault="00CF40D1" w:rsidP="00CF40D1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</w:pPr>
          </w:p>
          <w:p w14:paraId="5AFA34D0" w14:textId="111D11EC" w:rsidR="003C549D" w:rsidRPr="00B005F9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Outros Assuntos.</w:t>
            </w:r>
          </w:p>
          <w:p w14:paraId="75DCE405" w14:textId="12271F25" w:rsidR="003C549D" w:rsidRPr="00B005F9" w:rsidRDefault="00191B1A">
            <w:pPr>
              <w:suppressLineNumbers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D52F85" w:rsidRPr="00B005F9" w14:paraId="5B30D5FA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17045C1" w14:textId="77777777" w:rsidR="003C549D" w:rsidRPr="00B005F9" w:rsidRDefault="00191B1A">
            <w:pPr>
              <w:pageBreakBefore/>
              <w:suppressAutoHyphens w:val="0"/>
              <w:spacing w:line="25" w:lineRule="atLeas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D52F85" w:rsidRPr="00B005F9" w14:paraId="085815E1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DC1FE" w14:textId="77777777" w:rsidR="003C549D" w:rsidRPr="00B005F9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52F85" w:rsidRPr="00B005F9" w14:paraId="1C05081B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64BFBBB" w14:textId="77777777" w:rsidR="003C549D" w:rsidRPr="00B005F9" w:rsidRDefault="00191B1A">
            <w:pPr>
              <w:suppressLineNumbers/>
              <w:suppressAutoHyphens w:val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D52F85" w:rsidRPr="00B005F9" w14:paraId="2EF98BD6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AA10C1F" w14:textId="4AD694B0" w:rsidR="00B21790" w:rsidRPr="00B005F9" w:rsidRDefault="00191B1A" w:rsidP="5713CD4E">
            <w:pPr>
              <w:suppressLineNumbers/>
              <w:suppressAutoHyphens w:val="0"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r w:rsidR="00421AC9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10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</w:t>
            </w:r>
            <w:r w:rsidR="00421AC9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15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 com a presença dos Conselheiros Fábio Almeida Vieira</w:t>
            </w:r>
            <w:r w:rsidR="62F8FA88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2E30C3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Matheus Lopes Medeiros</w:t>
            </w:r>
            <w:r w:rsidR="62F8FA88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9EAC7A3" w14:textId="77777777" w:rsidR="00112434" w:rsidRPr="00B005F9" w:rsidRDefault="00112434" w:rsidP="005457FA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52F85" w:rsidRPr="00B005F9" w14:paraId="763A3AF0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65F7E" w14:textId="77777777" w:rsidR="003C549D" w:rsidRPr="00B005F9" w:rsidRDefault="003C549D">
            <w:pPr>
              <w:suppressAutoHyphens w:val="0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DF7988" w:rsidRPr="00B005F9" w14:paraId="56725A93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2F4050C" w14:textId="77777777" w:rsidR="003C549D" w:rsidRPr="00B005F9" w:rsidRDefault="00191B1A">
            <w:pPr>
              <w:suppressLineNumbers/>
              <w:suppressAutoHyphens w:val="0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="00DF7988" w:rsidRPr="00B005F9" w14:paraId="09AEB16E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39151C3" w14:textId="77777777" w:rsidR="00A44E3F" w:rsidRPr="00B005F9" w:rsidRDefault="00A44E3F" w:rsidP="00FD669D">
            <w:pPr>
              <w:suppressLineNumbers/>
              <w:suppressAutoHyphens w:val="0"/>
              <w:rPr>
                <w:rFonts w:asciiTheme="majorHAnsi" w:hAnsi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F7DA685" w14:textId="4367FE45" w:rsidR="00193729" w:rsidRPr="00B005F9" w:rsidRDefault="00694532" w:rsidP="00193729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Coordenador</w:t>
            </w:r>
            <w:r w:rsidR="5E557F77" w:rsidRPr="00B005F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  <w:p w14:paraId="68342420" w14:textId="3DE2BA83" w:rsidR="002E30C3" w:rsidRPr="00B005F9" w:rsidRDefault="00421AC9" w:rsidP="00421AC9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O coordenador informou que não houve</w:t>
            </w:r>
            <w:r w:rsidR="00DF7988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representante da CPUA-CAU/MG no Seminário Nacional Reforma Urbana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nos dias </w:t>
            </w:r>
            <w:r w:rsidR="00DF7988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21, 23 e 24 de outubro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14:paraId="656C4C11" w14:textId="67853A49" w:rsidR="00D12BC5" w:rsidRPr="00B005F9" w:rsidRDefault="00694532" w:rsidP="5713CD4E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Assessoria.</w:t>
            </w:r>
          </w:p>
          <w:p w14:paraId="523656D9" w14:textId="39A84694" w:rsidR="002E30C3" w:rsidRPr="00B005F9" w:rsidRDefault="00D26C5C" w:rsidP="003C1FDF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O Assessor comunicou sobre o recebimento (no dia 07/11/2023) do Protocolo de Intensões da criação da Rede Mineira de Cidades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cr/>
              <w:t>Inteligentes e Sustentáveis, emitido na no III Fórum Mineiro de Cidades Inteligentes e Sustentáveis, realizado no dia 31/10/2023, quando o CAU/MG foi representado pela Conselheira Michela Perígolo.</w:t>
            </w:r>
            <w:r w:rsidRPr="00B005F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F7988" w:rsidRPr="00B005F9" w14:paraId="6C1D1FA2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98056" w14:textId="7825ACB6" w:rsidR="004C0C97" w:rsidRPr="00B005F9" w:rsidRDefault="004C0C97" w:rsidP="00A44E3F">
            <w:pPr>
              <w:suppressAutoHyphens w:val="0"/>
              <w:jc w:val="center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F7988" w:rsidRPr="00B005F9" w14:paraId="00747469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4537320" w14:textId="77777777" w:rsidR="003C549D" w:rsidRPr="00B005F9" w:rsidRDefault="00191B1A">
            <w:pPr>
              <w:suppressAutoHyphens w:val="0"/>
              <w:spacing w:line="360" w:lineRule="auto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Aprovação de documentos da reunião anterior.</w:t>
            </w:r>
          </w:p>
        </w:tc>
      </w:tr>
      <w:tr w:rsidR="00DF7988" w:rsidRPr="00B005F9" w14:paraId="0E4269B9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845800E" w14:textId="53A12D86" w:rsidR="003C549D" w:rsidRPr="00B005F9" w:rsidRDefault="2EEC1881" w:rsidP="5713CD4E">
            <w:pPr>
              <w:suppressAutoHyphens w:val="0"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deliberaç</w:t>
            </w:r>
            <w:r w:rsidR="00421AC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ão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emitid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na </w:t>
            </w:r>
            <w:r w:rsidR="2E284CEE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8</w:t>
            </w:r>
            <w:r w:rsidR="00421AC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4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ª reunião ordinária</w:t>
            </w:r>
            <w:r w:rsidR="5E557F77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da CPUA-CAU/MG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fo</w:t>
            </w:r>
            <w:r w:rsidR="00421AC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i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5E557F77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aprovada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7DC71D6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por e-mail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com a inclusão da assinatura do Coordenador. </w:t>
            </w:r>
          </w:p>
          <w:p w14:paraId="48C2F1ED" w14:textId="77777777" w:rsidR="00E91551" w:rsidRPr="00B005F9" w:rsidRDefault="00E91551" w:rsidP="00E91551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97D305" w14:textId="4EE036A0" w:rsidR="00193729" w:rsidRPr="00B005F9" w:rsidRDefault="00694532" w:rsidP="00E91551">
            <w:pPr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Súmula da reunião 8</w:t>
            </w:r>
            <w:r w:rsidR="0091651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4</w:t>
            </w:r>
            <w:r w:rsidR="5E557F77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ª reuniã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 ordinária da CPUA-CAU/MG</w:t>
            </w:r>
            <w:r w:rsidR="5E557F77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foi aprovada </w:t>
            </w:r>
            <w:r w:rsidR="00421AC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por e-mail</w:t>
            </w:r>
            <w:r w:rsidR="0091651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já tendo sido coletadas as assinaturas pertinentes</w:t>
            </w:r>
            <w:r w:rsidR="5E557F77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BAB28FB" w14:textId="77777777" w:rsidR="003C1FDF" w:rsidRPr="00B005F9" w:rsidRDefault="003C1FDF" w:rsidP="00E91551">
            <w:pPr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  <w:p w14:paraId="3958F79D" w14:textId="34D79107" w:rsidR="00916519" w:rsidRPr="00B005F9" w:rsidRDefault="003C1FDF" w:rsidP="00916519">
            <w:pPr>
              <w:pStyle w:val="xxmsonormal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O Assessor Diogo informou sobre a ausência de assinaturas </w:t>
            </w:r>
            <w:r w:rsidR="0091651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na Súmula n° 81, restando nesta a assinatura da Conselheira Mariana Fernandes Teixeira.</w:t>
            </w:r>
          </w:p>
          <w:p w14:paraId="0EA29532" w14:textId="25200ED7" w:rsidR="003C1FDF" w:rsidRPr="00B005F9" w:rsidRDefault="003C1FDF" w:rsidP="00E91551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F7988" w:rsidRPr="00B005F9" w14:paraId="09B7261E" w14:textId="77777777" w:rsidTr="0E1D9510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E92EC" w14:textId="77777777" w:rsidR="003C549D" w:rsidRPr="00B005F9" w:rsidRDefault="003C549D">
            <w:pPr>
              <w:suppressAutoHyphens w:val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F7988" w:rsidRPr="00B005F9" w14:paraId="2DFEF75D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23DF579" w14:textId="77777777" w:rsidR="003C549D" w:rsidRPr="00B005F9" w:rsidRDefault="00191B1A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DF7988" w:rsidRPr="00B005F9" w14:paraId="65D209D4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48932" w14:textId="77777777" w:rsidR="003C549D" w:rsidRPr="00B005F9" w:rsidRDefault="003C549D">
            <w:pPr>
              <w:suppressAutoHyphens w:val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0F017E9" w14:textId="77777777" w:rsidR="003C549D" w:rsidRPr="00B005F9" w:rsidRDefault="003C549D">
            <w:pPr>
              <w:suppressAutoHyphens w:val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F7988" w:rsidRPr="00B005F9" w14:paraId="551446D5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45CFEF18" w14:textId="46B2852E" w:rsidR="003C549D" w:rsidRPr="00B005F9" w:rsidRDefault="00AF439D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Acompanhamento das ações previstas no Plano de Ação da CPUA-CAU/MG.</w:t>
            </w:r>
          </w:p>
        </w:tc>
      </w:tr>
      <w:tr w:rsidR="00DF7988" w:rsidRPr="00B005F9" w14:paraId="0A5E346A" w14:textId="77777777" w:rsidTr="0E1D9510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5EE2E6D" w14:textId="7572470F" w:rsidR="003C549D" w:rsidRPr="00B005F9" w:rsidRDefault="003C549D">
            <w:pPr>
              <w:suppressLineNumbers/>
              <w:suppressAutoHyphens w:val="0"/>
              <w:jc w:val="both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  <w:p w14:paraId="16D8A2D8" w14:textId="3F995141" w:rsidR="003C549D" w:rsidRPr="00B005F9" w:rsidRDefault="00962EE3" w:rsidP="004600FB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 xml:space="preserve">AÇÃO: </w:t>
            </w:r>
            <w:r w:rsidR="004600FB"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 xml:space="preserve">1.5.13 </w:t>
            </w:r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–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14:paraId="32F0942A" w14:textId="77777777" w:rsidR="00962EE3" w:rsidRPr="00B005F9" w:rsidRDefault="00962EE3" w:rsidP="00962EE3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</w:p>
          <w:p w14:paraId="2ABCC1B7" w14:textId="0849F086" w:rsidR="00BE5441" w:rsidRPr="00B005F9" w:rsidRDefault="00BE5441" w:rsidP="00BE5441">
            <w:pPr>
              <w:pStyle w:val="paragraph"/>
              <w:widowControl w:val="0"/>
              <w:spacing w:beforeAutospacing="0" w:afterAutospacing="0"/>
              <w:ind w:left="454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Não houve atualização neste item.</w:t>
            </w:r>
          </w:p>
          <w:p w14:paraId="05958B29" w14:textId="0280EE97" w:rsidR="004748F7" w:rsidRPr="00B005F9" w:rsidRDefault="004748F7" w:rsidP="5713CD4E">
            <w:pPr>
              <w:suppressAutoHyphens w:val="0"/>
              <w:ind w:left="454"/>
              <w:jc w:val="both"/>
              <w:rPr>
                <w:rStyle w:val="normaltextrun"/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</w:p>
          <w:p w14:paraId="409B7ED4" w14:textId="6E557D99" w:rsidR="003C549D" w:rsidRPr="00B005F9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14:paraId="303769C1" w14:textId="77777777" w:rsidR="003C1FDF" w:rsidRPr="00B005F9" w:rsidRDefault="003C1FDF" w:rsidP="003C1F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8E0DA51" w14:textId="77777777" w:rsidR="003C1FDF" w:rsidRPr="00B005F9" w:rsidRDefault="003C1FDF" w:rsidP="003C1FDF">
            <w:pPr>
              <w:spacing w:line="360" w:lineRule="auto"/>
              <w:ind w:left="454"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/>
              </w:rPr>
            </w:pPr>
            <w:r w:rsidRPr="00B005F9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en-US"/>
              </w:rPr>
              <w:t xml:space="preserve">A Gerente de Planejamento se encontra no momento tentando marcar reunião sobre Termo de Cooperação Técnica firmado entre Município de Congonhas e CAU/MG entre os dias 13 a 16 deste mês. </w:t>
            </w:r>
          </w:p>
          <w:p w14:paraId="6DEE5ED3" w14:textId="39A97070" w:rsidR="5713CD4E" w:rsidRPr="00B005F9" w:rsidRDefault="5713CD4E" w:rsidP="5713CD4E">
            <w:pPr>
              <w:pStyle w:val="paragraph"/>
              <w:widowControl w:val="0"/>
              <w:spacing w:beforeAutospacing="0" w:afterAutospacing="0"/>
              <w:ind w:left="458"/>
              <w:jc w:val="both"/>
              <w:rPr>
                <w:rStyle w:val="normaltextrun"/>
                <w:rFonts w:asciiTheme="majorHAnsi" w:eastAsia="Calibri" w:hAnsiTheme="majorHAnsi"/>
                <w:color w:val="808080" w:themeColor="background1" w:themeShade="80"/>
                <w:sz w:val="20"/>
                <w:szCs w:val="20"/>
              </w:rPr>
            </w:pPr>
          </w:p>
          <w:p w14:paraId="5386EC99" w14:textId="072079C9" w:rsidR="004748F7" w:rsidRPr="00B005F9" w:rsidRDefault="00962EE3" w:rsidP="00CE5931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bookmarkStart w:id="0" w:name="_Hlk139969214"/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AÇÃO: 1.3.3 –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  <w:bookmarkEnd w:id="0"/>
          </w:p>
          <w:p w14:paraId="4D48E854" w14:textId="3AB0769E" w:rsidR="00900E70" w:rsidRPr="00B005F9" w:rsidRDefault="00773949" w:rsidP="00900E70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Neste dia, das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13h30min às 15h59min,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ocorreu, por videoconferência pela plataforma Microsoft Teams, o encontro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com os profissionais arquiteto(a)s representantes de Conselhos Municipais.</w:t>
            </w:r>
          </w:p>
          <w:p w14:paraId="4949243F" w14:textId="1AEF1790" w:rsidR="00773949" w:rsidRPr="00B005F9" w:rsidRDefault="00773949" w:rsidP="00900E70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lastRenderedPageBreak/>
              <w:t xml:space="preserve">Estiveram presentes os participantes discriminados a seguir: </w:t>
            </w:r>
          </w:p>
          <w:p w14:paraId="281ED8C5" w14:textId="0973EB53" w:rsidR="003E3361" w:rsidRPr="00B005F9" w:rsidRDefault="00773949" w:rsidP="005A4F24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a)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Fábio Almeida Vieira, coordenador da CPUA-CAU/MG;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b) Matheus Lopes Medeiros, membro suplente da CPUA-CAU/MG;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c) Diogo Braga, Arquiteto Analista do CAU/MG e Assessor da CPUA-CAU/MG;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d) Rita Lopes, Gerente de Planejamento e Gestão Estratégica do 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e) Bruno Siqueira, Assistente Administrativo da Gerência de Planejamento e Gestão Estratégica do 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f) Adriana Santos, Coordenadora da Secretaria Geral do CAU/MG;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g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Gilma de Sousa, representante do Grupo Gestor e Comissão para propor os procedimentos de análise de projetos arquitetônicos da Prefeitura de Divinópolis;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h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Cecília Maria Rabelo Geraldo, Comissão Permanente de Acessibilidade e Comissão Técnica de Avaliação da Prefeitura de Juiz de Fora;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i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Vitor de Castro França, Conselho da Cidade do Município de Nova Serrana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j</w:t>
            </w:r>
            <w:r w:rsidR="00987C7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Emmanuelle de Assis Silveira, Conselho de Desenvolvimento Municipal do Município de Diamantina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k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Camilla Magalhães Carneiro, Conselho Municipal de Defesa e Conservação do Meio Ambiente do município de Viçosa;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l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Patrícia Elizabeth Ferreira Gomes Barbosa, Observatório da Mobilidade Urbana do Município de Belo Horizonte;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m</w:t>
            </w:r>
            <w:r w:rsidR="00A6585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Marcelo Ferreira Rodrigues, Conselho Municipal de Política Urbana do Município de Patos de Minas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; n</w:t>
            </w:r>
            <w:r w:rsidR="003E336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Guilherme Silva Graciano, Conselho Municipal de Desenvolvimento Ambiental do Município de Uberlândia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; o</w:t>
            </w:r>
            <w:r w:rsidR="003E3361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) Angélica Soares Vasconcelos, Conselho da Cidade do Município de Nova Serrana;</w:t>
            </w:r>
            <w:r w:rsidR="005A4F2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p) Dione Guerra Lage, Conselho Municipal de Desenvolvimento Urbano do Município de Governador Valadares.</w:t>
            </w:r>
          </w:p>
          <w:p w14:paraId="26A38CA6" w14:textId="3900CED6" w:rsidR="00987C75" w:rsidRPr="00B005F9" w:rsidRDefault="005A4F24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Inicialmente os participantes se apresentaram e, após isto, foi realizada uma breve apresentação da equipe do CAU/MG. O Conselheiro Fábio Almeida Vieira, coordenador da CPUA-CAU/MG, informou sobre os objetivos da reunião</w:t>
            </w:r>
            <w:r w:rsidR="0074338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 que é objetivo da CPUA-CAU/MG realizar reuniões semestrais de acompanhamento das representações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, a funcionária Rita Lopes, Gerente de Planejamento e Gestão Estratégica do CAU/MG, explicitou aos presentes sobre o Mapa Estratégico do CAU/MG, sobre o procedimento operacional das representações institucionais, sobre o Portal de Transparência do CAU/MG e sobre a importância dos Relatórios </w:t>
            </w:r>
            <w:r w:rsidR="00743384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de representações. Por sua vez, a funcionária Adriana Santos, Coordenadora da Secretaria Geral do CAU/MG, finalizou explicitando sobre o procedimento referente às verbas indenizatórias devidas aos representantes. </w:t>
            </w:r>
          </w:p>
          <w:p w14:paraId="47E6FA6A" w14:textId="77777777" w:rsidR="007302A6" w:rsidRPr="00B005F9" w:rsidRDefault="00743384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Após isto, </w:t>
            </w:r>
            <w:r w:rsidR="007302A6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 Coordenador Fábio Vieira passou a palavra aos representantes que desejavam se manifestar.</w:t>
            </w:r>
          </w:p>
          <w:p w14:paraId="24E69B0C" w14:textId="2DA8567F" w:rsidR="00743384" w:rsidRPr="00B005F9" w:rsidRDefault="007302A6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 Sra. Emmanuelle de Assis Silveira, representante no Conselho de Desenvolvimento Municipal do Município de Diamantina, explicitou sobre sua representação, onde a última reunião ocorreu em outubro de 2022, não tendo tido mais reuniões após esta data, sem saber se o Conselho foi extinto. Disse que nunca teve acesso às Atas das reuniões, mesmo já tendo as solicitado. Ficou decidido que a Sra. Adriana Santos, Coordenadora da Secretaria Geral do CAU/MG, irá tentar contato com o Conselho de Desenvolvimento Municipal do Município de Diamantina a fim de tentar ter acesso às Atas. </w:t>
            </w:r>
          </w:p>
          <w:p w14:paraId="166F25C1" w14:textId="6E6E32A3" w:rsidR="007302A6" w:rsidRPr="00B005F9" w:rsidRDefault="007302A6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 Sra. Gilma de Sousa, representante do Grupo Gestor e Comissão para propor os procedimentos de análise de projetos arquitetônicos da Prefeitura de Divinópolis, explicitou sobre a exigência da </w:t>
            </w:r>
            <w:r w:rsidR="00DD786D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Prefeitura acessibilidade nos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alvará</w:t>
            </w:r>
            <w:r w:rsidR="00DD786D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s de funcionamento. Tendo em vista a importância do tema, sugeriu a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DD786D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elaboração de um Seminário sobre experiências de Cidades Acessíveis. Tendo isto em vista, a Sra. Cecília Maria Rabelo Geraldo informou que os Municípios de Uberlândia e Juiz de Fora possuem experiência</w:t>
            </w:r>
            <w:r w:rsidR="00DD786D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sobre o tema e </w:t>
            </w:r>
            <w:r w:rsidR="00DD786D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Sra. Emmanuelle de Assis Silveira adicionou que a Prefeitura de Diamantina também possui. </w:t>
            </w:r>
          </w:p>
          <w:p w14:paraId="60FCD084" w14:textId="21991F46" w:rsidR="00DD786D" w:rsidRPr="00B005F9" w:rsidRDefault="00DD786D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Sra. Cecília Maria Rabelo Geraldo, Comissão Permanente de Acessibilidade e Comissão Técnica de Avaliação da Prefeitura de Juiz de Fora, explicitou sobre as dificuldades de atuação da Comissão, pois teria se tornado um “balcão de reclamações” e que teria sofrido com a saída de seu assessor. Disse que não poderá continuar como representante nesta Comissão em 2023.</w:t>
            </w:r>
            <w:r w:rsidR="004B0C8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O Coordenador Fábio Vieira informou que esta comunicação deverá ser feita oportunamente ao e-mail da secretaria do CAU/MG. </w:t>
            </w:r>
          </w:p>
          <w:p w14:paraId="757E92EB" w14:textId="1CA887FD" w:rsidR="004B0C8A" w:rsidRPr="00B005F9" w:rsidRDefault="004B0C8A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Foram retiradas dúvidas gerais sobre representações, relatórios e verbas indenizatórias pelas funcionárias </w:t>
            </w:r>
            <w:r w:rsidR="00926596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Adriana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 Rita. </w:t>
            </w:r>
          </w:p>
          <w:p w14:paraId="167D0D84" w14:textId="06FC1DED" w:rsidR="005A7E3C" w:rsidRPr="00B005F9" w:rsidRDefault="005A7E3C" w:rsidP="005A7E3C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 Sra. Dione Guerra Lage, </w:t>
            </w:r>
            <w:r w:rsidR="00B8780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representante no C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onselho Municipal de Desenvolvimento Urbano do Município de Governador Valadares</w:t>
            </w:r>
            <w:r w:rsidR="00B8780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, manifestou-se sem destacar nenhum ponto necessário de deliberação. </w:t>
            </w:r>
          </w:p>
          <w:p w14:paraId="481138EF" w14:textId="55272EE0" w:rsidR="004814CE" w:rsidRPr="00B005F9" w:rsidRDefault="004814CE" w:rsidP="004814CE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lastRenderedPageBreak/>
              <w:t xml:space="preserve">A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Sra. Angélica Soares Vasconcelos, membro do </w:t>
            </w:r>
            <w:bookmarkStart w:id="1" w:name="_Hlk150503067"/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Conselho da Cidade do Município de Nova Serrana</w:t>
            </w:r>
            <w:bookmarkEnd w:id="1"/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, informou sobre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o momento atual de debates e discussões sobre alterações no Plano Diretor do Município de Nova Serrana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 e informou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sobre as incertezas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no debate sobre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se o Conselho da Cidade deve se constituir em instância deliberativa ou apenas consultiva.</w:t>
            </w:r>
          </w:p>
          <w:p w14:paraId="4C855B49" w14:textId="5B42E89C" w:rsidR="004B0C8A" w:rsidRPr="00B005F9" w:rsidRDefault="004814CE" w:rsidP="00987C7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A Sra. </w:t>
            </w:r>
            <w:r w:rsidR="00B8780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Camilla Magalhães Carneiro, representante no Conselho Municipal de Defesa e Conservação do Meio Ambiente do município de Viçosa, manifestou-se sem destacar nenhum ponto necessário de deliberação.</w:t>
            </w:r>
          </w:p>
          <w:p w14:paraId="5AAE9460" w14:textId="05853886" w:rsidR="00900E70" w:rsidRPr="00B005F9" w:rsidRDefault="00B8780B" w:rsidP="00930C7B">
            <w:pPr>
              <w:pStyle w:val="paragraph"/>
              <w:ind w:left="313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Tendo isto em vista, a CPUA-CAU/MG decidiu emitir Deliberação dando os encaminhamentos surgidos durante a reunião:</w:t>
            </w:r>
          </w:p>
          <w:p w14:paraId="018CBBD3" w14:textId="209A627C" w:rsidR="00900E70" w:rsidRPr="00B005F9" w:rsidRDefault="00B8780B" w:rsidP="00900E70">
            <w:pPr>
              <w:pStyle w:val="paragraph"/>
              <w:numPr>
                <w:ilvl w:val="0"/>
                <w:numId w:val="13"/>
              </w:numPr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Sugerir para</w:t>
            </w:r>
            <w:r w:rsidR="00900E70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próxima composição da CPUA-CAU/MG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em 2024,</w:t>
            </w:r>
            <w:r w:rsidR="00900E70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 elaboração de um Seminário sobre experiências de Cidades Acessíveis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a serem convidados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 Prefeituras de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berlândia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uiz de 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  <w:r w:rsidR="00EC25B1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ora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Diamantina para apresentação de 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suas experiências como estudos de caso</w:t>
            </w:r>
            <w:r w:rsidR="00A60D09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51267B5D" w14:textId="091188B3" w:rsidR="00B8780B" w:rsidRPr="00B005F9" w:rsidRDefault="00B8780B" w:rsidP="00B8780B">
            <w:pPr>
              <w:pStyle w:val="paragraph"/>
              <w:widowControl w:val="0"/>
              <w:numPr>
                <w:ilvl w:val="0"/>
                <w:numId w:val="13"/>
              </w:numPr>
              <w:spacing w:beforeAutospacing="0" w:afterAutospacing="0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Sugerir para a próxima composição da CPUA-CAU/MG, CATHIS-CAU/MG e CPC-CAU/MG, em 2024, que incluam em seus Planos de Ação a realização de duas reuniões anuais para acompanhamento dos profissionais arquitetos e urbanistas integrantes dos conselhos municipais dos temas afeitos a estas comissões. Sugerir que o planejamento desta ação conste como pauta no calendário de reuniões conjuntas da CATHIS, CPUA, CPC do CAU/MG.</w:t>
            </w:r>
          </w:p>
          <w:p w14:paraId="5AFC6126" w14:textId="77777777" w:rsidR="00BB720A" w:rsidRPr="00B005F9" w:rsidRDefault="00BB720A" w:rsidP="00BB720A">
            <w:pPr>
              <w:pStyle w:val="paragraph"/>
              <w:widowControl w:val="0"/>
              <w:spacing w:beforeAutospacing="0" w:afterAutospacing="0"/>
              <w:ind w:left="673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FD487C4" w14:textId="7892AB65" w:rsidR="0060745E" w:rsidRPr="00B005F9" w:rsidRDefault="00BB720A" w:rsidP="00A56DE2">
            <w:pPr>
              <w:pStyle w:val="paragraph"/>
              <w:widowControl w:val="0"/>
              <w:spacing w:beforeAutospacing="0" w:afterAutospacing="0"/>
              <w:ind w:left="673"/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</w:t>
            </w:r>
          </w:p>
          <w:p w14:paraId="42E393F2" w14:textId="262122E3" w:rsidR="00900E70" w:rsidRPr="00B005F9" w:rsidRDefault="00BB720A" w:rsidP="00A56DE2">
            <w:pPr>
              <w:pStyle w:val="paragraph"/>
              <w:numPr>
                <w:ilvl w:val="0"/>
                <w:numId w:val="13"/>
              </w:numPr>
              <w:jc w:val="both"/>
              <w:textAlignment w:val="baseline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Informar ao Município de Nova Serrana através de Ofício do CAU/MG</w:t>
            </w:r>
            <w:r w:rsidR="00EE1BB7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que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EE1BB7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</w:t>
            </w:r>
            <w:r w:rsidR="00EE1BB7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onforme as Resoluções </w:t>
            </w:r>
            <w:r w:rsidR="00144140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nº 13, de 16 de junho de 2004, Resolução nº 25, de 18 de março de 2005, do ConCidades e nas deliberações da 2ª Conferência Nacional das Cidades, 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assim como na Publicação “Um Exercício de Gestão Democrática” do Ministério das Cidades </w:t>
            </w:r>
            <w:r w:rsidR="0060745E"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2006, “os Conselhos das Cidades, em suas esferas estaduais, municipais e do Distrito Federal comporão o Sistema Nacional de Desenvolvimento Urbano e deverão se constituir em instâncias permanentes, consultivas, </w:t>
            </w:r>
            <w:r w:rsidRPr="00B005F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deliberativas</w:t>
            </w: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 fiscalizadoras, visando à articulação das políticas e ações dos entes federados”. </w:t>
            </w:r>
          </w:p>
          <w:p w14:paraId="63F66B81" w14:textId="100C8E86" w:rsidR="006E36EC" w:rsidRPr="00B005F9" w:rsidRDefault="006E36E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2" w:name="_Hlk139970000"/>
            <w:r w:rsidRPr="00B005F9">
              <w:rPr>
                <w:rStyle w:val="normaltextrun"/>
                <w:rFonts w:asciiTheme="majorHAnsi" w:eastAsia="Calibri" w:hAnsiTheme="majorHAnsi"/>
                <w:bCs/>
                <w:color w:val="000000" w:themeColor="text1"/>
                <w:sz w:val="20"/>
                <w:szCs w:val="20"/>
              </w:rPr>
              <w:t>1.4.5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ARQUITETOS(AS) E URBANISTAS PARA ATUAR EM REGULARIZAÇÃO FUNDIÁRIA</w:t>
            </w:r>
            <w:bookmarkEnd w:id="2"/>
          </w:p>
          <w:p w14:paraId="47824B29" w14:textId="77777777" w:rsidR="00D12BC5" w:rsidRPr="00B005F9" w:rsidRDefault="00D12BC5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7A03673" w14:textId="6DF48CA4" w:rsidR="00DF7988" w:rsidRPr="00B005F9" w:rsidRDefault="00DF7988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 a</w:t>
            </w:r>
            <w:r w:rsidR="00D12BC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ção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estava em </w:t>
            </w:r>
            <w:r w:rsidR="00D12BC5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andamento (DCPUA 81.1.1.4) com previsão para ocorrer dia 09/11/2023</w:t>
            </w:r>
            <w:r w:rsidR="0071013E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em Nova Lima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, no entanto, em reunião com a FIP (</w:t>
            </w:r>
            <w:r w:rsidR="00930C7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F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undação Israel Pinheiro) no dia 04/10/2023 o Coordenador Fábio constatou que o que seria desenvolvido não era o curso de REUB conforme desejado pela CPUA-CAU/MG e constante na Deliberação supracitada. </w:t>
            </w:r>
          </w:p>
          <w:p w14:paraId="21828C47" w14:textId="77777777" w:rsidR="00DF7988" w:rsidRPr="00B005F9" w:rsidRDefault="00DF7988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6950390" w14:textId="0A18D4A9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Desta forma, foi realizada nova reunião às 14h00min do dia 23/10/2023 com a Assessora de </w:t>
            </w:r>
            <w:r w:rsidR="00930C7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Eventos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Flávia Possato, a Gerente de Planejamento Rita Gomes, o Assessor da CPUA-CAU/MG Diogo Braga, o Coordenador da CPUA-CAU/MG Fábio Vieira e a funcionária da Fundação Israel Pinheiro Maiara Vieira para debater sobre a Ação da CPUA referente ao curso de REURB. </w:t>
            </w:r>
          </w:p>
          <w:p w14:paraId="11D5A785" w14:textId="4DB6B089" w:rsidR="00DF7988" w:rsidRPr="00B005F9" w:rsidRDefault="00DF7988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0A1C4CC" w14:textId="106501DB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A Sra. Maiara Vieira destrinchou o que seria tratado dentro de cada tópico e solicitou esclarecimento de dúvidas, questionando se o curso teria como público arquitetos </w:t>
            </w:r>
            <w:r w:rsidR="00930C7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que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não conhecem nada de REURB ou que possuem algum conhecimento. Se deveria ser um curso mais focado na prática ou para o teórico?</w:t>
            </w:r>
          </w:p>
          <w:p w14:paraId="4B62C8AF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29077278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Coordenador Fábio Vieira esclareceu que deve ser um curso para um arquiteto que possui interesse e, portanto, conhece o básico, mínimo, sabe da lei de REURB, mas não sabe como começar. Deve ser um curso para ele entender sobre qual o passo a passo que deve seguir. Inclusive o capacitando na área de coordenação, posto que é entendimento do CAU que o coordenador desta atividade deve ser arquiteto e urbanista. </w:t>
            </w:r>
          </w:p>
          <w:p w14:paraId="1A26F0E4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1DBF2D74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A Sra. Maiara Vieira apresentou, portanto, a ementa detalhada do curso que foi debatida com realização de pequenos ajustes. Disse que irá incluir no curso uma linha do tempo de todo o processo de aprovação de um processo de REURB. E questionou sobre as horas devidas para cada aula. </w:t>
            </w:r>
          </w:p>
          <w:p w14:paraId="49FD7F2D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A3F7609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Coordenador Fábio Vieira esclareceu que seria ideal por volta de 3h por aula. Totalmente remoto ao vivo no período da noite, de preferência de 18h30 a 21h30min, toda 2ª e 4ª feiras. </w:t>
            </w:r>
          </w:p>
          <w:p w14:paraId="5BA49A0E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7FA00843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A Sra. Maiara Vieira levantou a possibilidade deste curso ficar em alguma plataforma para consulta posterior por 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lastRenderedPageBreak/>
              <w:t>algum tempo determinado.</w:t>
            </w:r>
          </w:p>
          <w:p w14:paraId="0784A942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96A001B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A Gerente Rita questionou como serão as inscrições? Já possui uma proposta orçamentária? Como isso entra na parceria CAU-FIP?</w:t>
            </w:r>
          </w:p>
          <w:p w14:paraId="39211D0A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3292D8C3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A Sra. Maiara Vieira respondeu que pensa em utilizar o Sympla, pois por lá já é emitido o certificado e que precisava da definição do conteúdo para fazer o levantamento dos custos. </w:t>
            </w:r>
          </w:p>
          <w:p w14:paraId="027AFC0B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46927938" w14:textId="14FBBFFB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Disse que faria o levantamento orçamentário e cronograma e que o tentaria entregar até o dia 27/10/2023. </w:t>
            </w:r>
          </w:p>
          <w:p w14:paraId="7C414503" w14:textId="311A8361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Enviou por e-mail a ementa detalhada do curso de REURB definida durante a reunião que foi apresentada aos Conselheiros da CPUA-CAU/MG.</w:t>
            </w:r>
          </w:p>
          <w:p w14:paraId="5E2EF19F" w14:textId="77777777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</w:p>
          <w:p w14:paraId="5756A4CA" w14:textId="6E8E64F5" w:rsidR="00DF7988" w:rsidRPr="00B005F9" w:rsidRDefault="00DF7988" w:rsidP="00DF7988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No dia 01/11/2023 a Gerente de Planejamento cobrou a Sra. Maiara Vieira da FIP o envio da estimativa de custos para a execução do curso. </w:t>
            </w:r>
          </w:p>
          <w:p w14:paraId="718C98DC" w14:textId="77777777" w:rsidR="00DF7988" w:rsidRPr="00B005F9" w:rsidRDefault="00DF7988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53342CD3" w14:textId="1F4D617B" w:rsidR="00D26C5C" w:rsidRPr="00B005F9" w:rsidRDefault="00D26C5C" w:rsidP="00D26C5C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No dia 07/11/2023 a Sra. Maiara Vieira da FIP enviou a estimativa de custos para a execução do curso. </w:t>
            </w:r>
          </w:p>
          <w:p w14:paraId="285E36E4" w14:textId="13A882E1" w:rsidR="00DF7988" w:rsidRPr="00B005F9" w:rsidRDefault="00DF7988" w:rsidP="5713CD4E">
            <w:pPr>
              <w:pStyle w:val="paragraph"/>
              <w:widowControl w:val="0"/>
              <w:spacing w:beforeAutospacing="0" w:afterAutospacing="0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7DF508C0" w14:textId="16CB5EC5" w:rsidR="0071013E" w:rsidRPr="00B005F9" w:rsidRDefault="004A4685" w:rsidP="006E36EC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Foi emitida uma Deliberação da CPUA-CAU/MG direcionada à Gerência de Planejamento e Gerência Administrativa e Financeira, destacando a necessidade de considerar estes custos para a programação orçamentária do ano de 2024.  </w:t>
            </w:r>
          </w:p>
          <w:p w14:paraId="3A2B1BDF" w14:textId="77777777" w:rsidR="004A4685" w:rsidRPr="00B005F9" w:rsidRDefault="004A4685" w:rsidP="006E36EC">
            <w:pPr>
              <w:rPr>
                <w:rFonts w:asciiTheme="majorHAnsi" w:eastAsia="Times New Roman" w:hAnsiTheme="majorHAnsi" w:cs="Arial"/>
                <w:color w:val="808080" w:themeColor="background1" w:themeShade="80"/>
                <w:sz w:val="20"/>
                <w:szCs w:val="20"/>
              </w:rPr>
            </w:pPr>
          </w:p>
          <w:p w14:paraId="617DE21A" w14:textId="2B736B68" w:rsidR="5713CD4E" w:rsidRPr="00B005F9" w:rsidRDefault="7EBAAAFB" w:rsidP="5713CD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2.1.12.1 –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</w:rPr>
              <w:t xml:space="preserve"> PROPOR CONTEÚDO DE DIVULGAÇÃO RELATIVA A TEMÁTICAS DE COMPETÊNCIA DA CPUA.</w:t>
            </w:r>
          </w:p>
          <w:p w14:paraId="387BDC4A" w14:textId="3548E52A" w:rsidR="5713CD4E" w:rsidRPr="00B005F9" w:rsidRDefault="5E8535F4" w:rsidP="002D5C1E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Em andamento. </w:t>
            </w:r>
            <w:r w:rsidR="504FCE8B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Não houve atualização sobre este item de pauta. </w:t>
            </w:r>
          </w:p>
          <w:p w14:paraId="1F050489" w14:textId="1631A206" w:rsidR="5713CD4E" w:rsidRPr="00B005F9" w:rsidRDefault="7EBAAAFB" w:rsidP="5713CD4E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3.1.10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</w:rPr>
              <w:t xml:space="preserve"> – INSCRIÇÃO DO CAU/MG NO </w:t>
            </w:r>
            <w:bookmarkStart w:id="3" w:name="_Hlk137622697"/>
            <w:r w:rsidRPr="00B005F9">
              <w:rPr>
                <w:rStyle w:val="normaltextrun"/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3"/>
          </w:p>
          <w:p w14:paraId="6EE2FCE5" w14:textId="7DDE0644" w:rsidR="00C9394C" w:rsidRPr="00B005F9" w:rsidRDefault="006A2D31" w:rsidP="006127F5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evento </w:t>
            </w:r>
            <w:r w:rsidR="003C1FDF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foi realizado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C1FDF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>n</w:t>
            </w: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os dias 24, 25 e 27 de outubro de 2023 com a seguinte programação: </w:t>
            </w:r>
            <w:hyperlink r:id="rId8" w:history="1">
              <w:r w:rsidRPr="00B005F9">
                <w:rPr>
                  <w:rFonts w:asciiTheme="majorHAnsi" w:eastAsia="Calibri" w:hAnsiTheme="majorHAnsi"/>
                  <w:color w:val="000000" w:themeColor="text1"/>
                  <w:sz w:val="20"/>
                  <w:szCs w:val="20"/>
                  <w:lang w:eastAsia="en-US"/>
                </w:rPr>
                <w:t>https://www.sympla.com.br/evento/cau-mg-no-circuito-urbano-2023/2163230</w:t>
              </w:r>
            </w:hyperlink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 .</w:t>
            </w:r>
          </w:p>
          <w:p w14:paraId="5A359295" w14:textId="7872E60E" w:rsidR="004748F7" w:rsidRPr="00B005F9" w:rsidRDefault="0347DBDB" w:rsidP="003C1FDF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3.1.13.1 –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</w:rPr>
              <w:t xml:space="preserve"> 4° SEMINÁRIO CONJUNTO DAS COMISSÕES ESPECIAIS (2023)</w:t>
            </w:r>
          </w:p>
          <w:p w14:paraId="66054AA1" w14:textId="6AF09BD2" w:rsidR="003C1FDF" w:rsidRPr="00B005F9" w:rsidRDefault="003C1FDF" w:rsidP="003C1FDF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Evento foi realizado nos dias 24, 25 e 27 de outubro de 2023 </w:t>
            </w:r>
          </w:p>
          <w:p w14:paraId="54453A11" w14:textId="62846495" w:rsidR="004748F7" w:rsidRPr="00B005F9" w:rsidRDefault="00C42A76" w:rsidP="00C42A76">
            <w:pPr>
              <w:pStyle w:val="paragraph"/>
              <w:ind w:left="313"/>
              <w:jc w:val="both"/>
              <w:textAlignment w:val="baseline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eastAsia="en-US"/>
              </w:rPr>
              <w:t xml:space="preserve">O Conselheiro Fábio informou que esteve presente no evento e que julga que teve grande repercussão para o CAU/MG. Que os palestrantes tiveram grandes atuações. Disse que o evento atingiu o esperado e que é importante que esta ação se repita no próximo ano. </w:t>
            </w:r>
          </w:p>
          <w:p w14:paraId="6039DD65" w14:textId="13E8E765" w:rsidR="005141FC" w:rsidRPr="00B005F9" w:rsidRDefault="7A1C2ADE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B005F9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AÇÃO: 1.5.2.1</w:t>
            </w:r>
            <w:r w:rsidRPr="00B005F9">
              <w:rPr>
                <w:rStyle w:val="normaltextrun"/>
                <w:rFonts w:asciiTheme="majorHAnsi" w:eastAsia="Calibri" w:hAnsiTheme="majorHAnsi"/>
                <w:b/>
                <w:bCs/>
                <w:color w:val="000000" w:themeColor="text1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14:paraId="7ED17324" w14:textId="77777777" w:rsidR="00032877" w:rsidRPr="00B005F9" w:rsidRDefault="00032877" w:rsidP="00391B59">
            <w:pPr>
              <w:shd w:val="clear" w:color="auto" w:fill="FFFFFF"/>
              <w:suppressAutoHyphens w:val="0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F19FAF4" w14:textId="467674C4" w:rsidR="003C1FDF" w:rsidRPr="00B005F9" w:rsidRDefault="00C42A76" w:rsidP="006A2D31">
            <w:pPr>
              <w:ind w:left="454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2E30C3" w:rsidRPr="00B005F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Ação concluída</w:t>
            </w:r>
            <w:r w:rsidRPr="00B005F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. O Conselheiro Fábio informou que a premiação se dará durante a Plenária do dia 05/12/2023.2</w:t>
            </w:r>
          </w:p>
          <w:p w14:paraId="204B7898" w14:textId="4B4F2409" w:rsidR="00010C5F" w:rsidRPr="00B005F9" w:rsidRDefault="00010C5F" w:rsidP="00C42A76">
            <w:pPr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</w:tbl>
    <w:p w14:paraId="3D797628" w14:textId="1C8037B3" w:rsidR="00982560" w:rsidRPr="00B005F9" w:rsidRDefault="00982560" w:rsidP="5713CD4E">
      <w:pPr>
        <w:widowControl/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DF7988" w:rsidRPr="00B005F9" w14:paraId="7AFF5E78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F7BC9F3" w14:textId="4432DB60" w:rsidR="003C549D" w:rsidRPr="00B005F9" w:rsidRDefault="003C1FDF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2</w:t>
            </w:r>
            <w:r w:rsidR="00191B1A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="00DF7988" w:rsidRPr="00B005F9" w14:paraId="1340403F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9651433" w14:textId="53B658D9" w:rsidR="00193729" w:rsidRPr="00B005F9" w:rsidRDefault="00193729" w:rsidP="5713CD4E">
            <w:pPr>
              <w:shd w:val="clear" w:color="auto" w:fill="FFFFFF" w:themeFill="background1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br/>
            </w:r>
            <w:r w:rsidR="00421AC9" w:rsidRPr="00B005F9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Sobre o Protocolo de Intensões da criação da Rede Mineira de Cidades Inteligentes e Sustentáveis, a CPUA-CAU/MG decidiu por emitir uma Deliberação recomendando a adesão do CAU/MG ao Conselho Diretor.</w:t>
            </w:r>
          </w:p>
          <w:p w14:paraId="05FB42D9" w14:textId="3C722A9C" w:rsidR="003C549D" w:rsidRPr="00B005F9" w:rsidRDefault="003C549D" w:rsidP="5713CD4E">
            <w:pPr>
              <w:suppressLineNumbers/>
              <w:suppressAutoHyphens w:val="0"/>
              <w:spacing w:line="276" w:lineRule="auto"/>
              <w:jc w:val="both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52F85" w:rsidRPr="00B005F9" w14:paraId="0B7A4F91" w14:textId="77777777" w:rsidTr="0E1D9510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7A52" w14:textId="77777777" w:rsidR="003C549D" w:rsidRPr="00B005F9" w:rsidRDefault="003C549D" w:rsidP="5713CD4E">
            <w:pPr>
              <w:suppressAutoHyphens w:val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C1FDF" w:rsidRPr="00B005F9" w14:paraId="5637A4D3" w14:textId="77777777" w:rsidTr="0E1D9510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E4B34DB" w14:textId="77777777" w:rsidR="003C549D" w:rsidRPr="00B005F9" w:rsidRDefault="00191B1A" w:rsidP="5713CD4E">
            <w:pPr>
              <w:suppressLineNumbers/>
              <w:suppressAutoHyphens w:val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3C1FDF" w:rsidRPr="00B005F9" w14:paraId="3A199E90" w14:textId="77777777" w:rsidTr="0E1D9510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FBB28D1" w14:textId="24FC0051" w:rsidR="003C549D" w:rsidRPr="00B005F9" w:rsidRDefault="00191B1A" w:rsidP="00D46FD5">
            <w:pPr>
              <w:suppressLineNumbers/>
              <w:suppressAutoHyphens w:val="0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D46FD5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reunião, iniciada às 10h15min, entrou em intervalo às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71013E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h</w:t>
            </w:r>
            <w:r w:rsidR="54273B19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DB3B2B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min</w:t>
            </w:r>
            <w:r w:rsidR="00D46FD5" w:rsidRPr="00B005F9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e retornou às 13h30min para realização do encontro com os profissionais arquiteto(a)s representantes de Conselhos Municipais, tendo esta sessão encerrado às 15h59min.     </w:t>
            </w:r>
          </w:p>
        </w:tc>
      </w:tr>
    </w:tbl>
    <w:p w14:paraId="0772A960" w14:textId="2F0192C8" w:rsidR="00B005F9" w:rsidRDefault="00B005F9" w:rsidP="0E1D9510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X</w:t>
      </w:r>
    </w:p>
    <w:p w14:paraId="0D4F1C69" w14:textId="5D127936" w:rsidR="00B005F9" w:rsidRDefault="00B005F9" w:rsidP="00B005F9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X</w:t>
      </w:r>
    </w:p>
    <w:p w14:paraId="791F56B4" w14:textId="54D8695E" w:rsidR="003C549D" w:rsidRPr="00B005F9" w:rsidRDefault="00191B1A" w:rsidP="0E1D9510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0B005F9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lastRenderedPageBreak/>
        <w:t>Declaro, para os devidos fins de direito, que as informações acima referidas são verdadeiras e dou fé, tendo sido aprovado o presente documento com a anuência dos membros da Comissão de Política Urbana e Ambiental do CAU/MG</w:t>
      </w:r>
      <w:r w:rsidR="00C42A76" w:rsidRPr="00B005F9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.</w:t>
      </w:r>
    </w:p>
    <w:p w14:paraId="424E350C" w14:textId="77777777" w:rsidR="003C549D" w:rsidRPr="00B005F9" w:rsidRDefault="003C549D" w:rsidP="0E1D9510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5253A4CF" w14:textId="594DEAA1" w:rsidR="0E1D9510" w:rsidRPr="00B005F9" w:rsidRDefault="0E1D9510" w:rsidP="0E1D9510">
      <w:pPr>
        <w:rPr>
          <w:rFonts w:asciiTheme="majorHAnsi" w:hAnsiTheme="majorHAnsi"/>
          <w:color w:val="808080" w:themeColor="background1" w:themeShade="80"/>
          <w:sz w:val="20"/>
          <w:szCs w:val="20"/>
        </w:rPr>
        <w:sectPr w:rsidR="0E1D9510" w:rsidRPr="00B005F9">
          <w:headerReference w:type="default" r:id="rId9"/>
          <w:footerReference w:type="default" r:id="rId10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1666E75D" w14:textId="010C20E9" w:rsidR="00097A85" w:rsidRPr="00B005F9" w:rsidRDefault="00097A85" w:rsidP="0E1D9510">
      <w:pPr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356305F7" w14:textId="689CFBA2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2E8B444" w14:textId="77777777" w:rsidR="00097A85" w:rsidRPr="00B005F9" w:rsidRDefault="00097A85" w:rsidP="0E1D9510">
      <w:pPr>
        <w:spacing w:line="276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B005F9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Fábio Almeida Vieira</w:t>
      </w:r>
    </w:p>
    <w:p w14:paraId="24585EE2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6D3CD732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1690A710" w14:textId="0E1BDE1D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665C03E" w14:textId="77777777" w:rsidR="00097A85" w:rsidRPr="00B005F9" w:rsidRDefault="00097A85" w:rsidP="0E1D9510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3D62E694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A57ECF2" w14:textId="77777777" w:rsidR="00390315" w:rsidRPr="00B005F9" w:rsidRDefault="00390315" w:rsidP="0E1D9510">
      <w:pPr>
        <w:spacing w:line="276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B005F9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Matheus Lopes Medeiros</w:t>
      </w:r>
    </w:p>
    <w:p w14:paraId="77067363" w14:textId="7E8538CB" w:rsidR="00097A85" w:rsidRPr="00B005F9" w:rsidRDefault="0039031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Conselheiro Suplente</w:t>
      </w:r>
    </w:p>
    <w:p w14:paraId="4D85990C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44561A2B" w14:textId="7353621B" w:rsidR="0E1D9510" w:rsidRPr="00B005F9" w:rsidRDefault="0E1D9510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2A7CAE5B" w14:textId="77777777" w:rsidR="00097A85" w:rsidRPr="00B005F9" w:rsidRDefault="00097A85" w:rsidP="0E1D9510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88CE38A" w14:textId="7C2140A0" w:rsidR="00097A85" w:rsidRPr="00B005F9" w:rsidRDefault="00097A85" w:rsidP="0E1D9510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6001F6E1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4668F619" w14:textId="77777777" w:rsidR="00097A85" w:rsidRPr="00B005F9" w:rsidRDefault="00097A85" w:rsidP="0E1D9510">
      <w:pPr>
        <w:spacing w:line="276" w:lineRule="auto"/>
        <w:jc w:val="center"/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</w:pPr>
      <w:r w:rsidRPr="00B005F9">
        <w:rPr>
          <w:rFonts w:asciiTheme="majorHAnsi" w:eastAsia="Calibri" w:hAnsiTheme="majorHAnsi" w:cs="Times New Roman"/>
          <w:b/>
          <w:bCs/>
          <w:color w:val="000000" w:themeColor="text1"/>
          <w:sz w:val="20"/>
          <w:szCs w:val="20"/>
        </w:rPr>
        <w:t>Diogo U. Braga</w:t>
      </w:r>
    </w:p>
    <w:p w14:paraId="43B5E730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3472E891" w14:textId="77777777" w:rsidR="00097A85" w:rsidRPr="00B005F9" w:rsidRDefault="00097A85" w:rsidP="0E1D9510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B005F9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FF17072" w14:textId="0B6E989B" w:rsidR="00390315" w:rsidRPr="00B005F9" w:rsidRDefault="00390315" w:rsidP="0E1D9510">
      <w:pPr>
        <w:spacing w:line="276" w:lineRule="auto"/>
        <w:jc w:val="center"/>
        <w:rPr>
          <w:rFonts w:asciiTheme="majorHAnsi" w:eastAsia="Cambria" w:hAnsiTheme="majorHAnsi" w:cs="Cambria"/>
          <w:color w:val="000000" w:themeColor="text1"/>
          <w:sz w:val="20"/>
          <w:szCs w:val="20"/>
        </w:rPr>
      </w:pPr>
    </w:p>
    <w:sectPr w:rsidR="00390315" w:rsidRPr="00B005F9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91F4" w14:textId="77777777" w:rsidR="006E34F0" w:rsidRDefault="006E34F0">
      <w:r>
        <w:separator/>
      </w:r>
    </w:p>
  </w:endnote>
  <w:endnote w:type="continuationSeparator" w:id="0">
    <w:p w14:paraId="13A851BB" w14:textId="77777777" w:rsidR="006E34F0" w:rsidRDefault="006E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59F" w14:textId="77777777" w:rsidR="00010C5F" w:rsidRDefault="00010C5F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8459" w14:textId="77777777" w:rsidR="006E34F0" w:rsidRDefault="006E34F0">
      <w:r>
        <w:separator/>
      </w:r>
    </w:p>
  </w:footnote>
  <w:footnote w:type="continuationSeparator" w:id="0">
    <w:p w14:paraId="5010E423" w14:textId="77777777" w:rsidR="006E34F0" w:rsidRDefault="006E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3F7" w14:textId="77777777" w:rsidR="00010C5F" w:rsidRDefault="00010C5F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F3"/>
    <w:multiLevelType w:val="hybridMultilevel"/>
    <w:tmpl w:val="4B382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D6E92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E223726"/>
    <w:multiLevelType w:val="multilevel"/>
    <w:tmpl w:val="8E6672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C685A"/>
    <w:multiLevelType w:val="hybridMultilevel"/>
    <w:tmpl w:val="68C6FA58"/>
    <w:lvl w:ilvl="0" w:tplc="61DEE93C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60D938DD"/>
    <w:multiLevelType w:val="multilevel"/>
    <w:tmpl w:val="253275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63BD1BF4"/>
    <w:multiLevelType w:val="multilevel"/>
    <w:tmpl w:val="272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510367089">
    <w:abstractNumId w:val="4"/>
  </w:num>
  <w:num w:numId="2" w16cid:durableId="1104156330">
    <w:abstractNumId w:val="6"/>
  </w:num>
  <w:num w:numId="3" w16cid:durableId="209660193">
    <w:abstractNumId w:val="10"/>
  </w:num>
  <w:num w:numId="4" w16cid:durableId="422796547">
    <w:abstractNumId w:val="5"/>
  </w:num>
  <w:num w:numId="5" w16cid:durableId="6636303">
    <w:abstractNumId w:val="2"/>
  </w:num>
  <w:num w:numId="6" w16cid:durableId="2089768322">
    <w:abstractNumId w:val="0"/>
  </w:num>
  <w:num w:numId="7" w16cid:durableId="404570312">
    <w:abstractNumId w:val="8"/>
  </w:num>
  <w:num w:numId="8" w16cid:durableId="1053582420">
    <w:abstractNumId w:val="12"/>
  </w:num>
  <w:num w:numId="9" w16cid:durableId="407121759">
    <w:abstractNumId w:val="7"/>
  </w:num>
  <w:num w:numId="10" w16cid:durableId="2117753295">
    <w:abstractNumId w:val="11"/>
  </w:num>
  <w:num w:numId="11" w16cid:durableId="1294942705">
    <w:abstractNumId w:val="1"/>
  </w:num>
  <w:num w:numId="12" w16cid:durableId="1662469768">
    <w:abstractNumId w:val="3"/>
  </w:num>
  <w:num w:numId="13" w16cid:durableId="2020689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D"/>
    <w:rsid w:val="00010C5F"/>
    <w:rsid w:val="00027859"/>
    <w:rsid w:val="00032877"/>
    <w:rsid w:val="00033E89"/>
    <w:rsid w:val="00066C78"/>
    <w:rsid w:val="000713CF"/>
    <w:rsid w:val="00097A85"/>
    <w:rsid w:val="000D5496"/>
    <w:rsid w:val="00100D93"/>
    <w:rsid w:val="00112434"/>
    <w:rsid w:val="00144140"/>
    <w:rsid w:val="0015317C"/>
    <w:rsid w:val="001654D7"/>
    <w:rsid w:val="0016C7C1"/>
    <w:rsid w:val="001700D0"/>
    <w:rsid w:val="00171070"/>
    <w:rsid w:val="00191B1A"/>
    <w:rsid w:val="00193729"/>
    <w:rsid w:val="001A415D"/>
    <w:rsid w:val="001F7B33"/>
    <w:rsid w:val="00203DD2"/>
    <w:rsid w:val="0021191E"/>
    <w:rsid w:val="00216163"/>
    <w:rsid w:val="0021772E"/>
    <w:rsid w:val="00252446"/>
    <w:rsid w:val="00273E4C"/>
    <w:rsid w:val="002846E0"/>
    <w:rsid w:val="002D1268"/>
    <w:rsid w:val="002D359B"/>
    <w:rsid w:val="002D5C1E"/>
    <w:rsid w:val="002E30C3"/>
    <w:rsid w:val="00321413"/>
    <w:rsid w:val="0036324C"/>
    <w:rsid w:val="00390315"/>
    <w:rsid w:val="003909F9"/>
    <w:rsid w:val="00391B59"/>
    <w:rsid w:val="003B2F46"/>
    <w:rsid w:val="003C1FDF"/>
    <w:rsid w:val="003C549D"/>
    <w:rsid w:val="003E3361"/>
    <w:rsid w:val="00402DF2"/>
    <w:rsid w:val="00410C57"/>
    <w:rsid w:val="00420226"/>
    <w:rsid w:val="00421AC9"/>
    <w:rsid w:val="004600FB"/>
    <w:rsid w:val="004748F7"/>
    <w:rsid w:val="00476714"/>
    <w:rsid w:val="004814CE"/>
    <w:rsid w:val="004A4685"/>
    <w:rsid w:val="004A4FB4"/>
    <w:rsid w:val="004B0C8A"/>
    <w:rsid w:val="004B5F59"/>
    <w:rsid w:val="004C0C97"/>
    <w:rsid w:val="004D74AC"/>
    <w:rsid w:val="004E4454"/>
    <w:rsid w:val="004E68ED"/>
    <w:rsid w:val="005068C4"/>
    <w:rsid w:val="005141FC"/>
    <w:rsid w:val="0052272D"/>
    <w:rsid w:val="005457FA"/>
    <w:rsid w:val="00553A17"/>
    <w:rsid w:val="00581F65"/>
    <w:rsid w:val="005A4F24"/>
    <w:rsid w:val="005A7E3C"/>
    <w:rsid w:val="005E3F84"/>
    <w:rsid w:val="005F4914"/>
    <w:rsid w:val="00606EAE"/>
    <w:rsid w:val="0060745E"/>
    <w:rsid w:val="006127F5"/>
    <w:rsid w:val="006715A4"/>
    <w:rsid w:val="00686AD9"/>
    <w:rsid w:val="00694532"/>
    <w:rsid w:val="006A2D31"/>
    <w:rsid w:val="006A64F1"/>
    <w:rsid w:val="006E034E"/>
    <w:rsid w:val="006E05B6"/>
    <w:rsid w:val="006E34F0"/>
    <w:rsid w:val="006E36EC"/>
    <w:rsid w:val="006F0DE1"/>
    <w:rsid w:val="00704579"/>
    <w:rsid w:val="0071013E"/>
    <w:rsid w:val="007302A6"/>
    <w:rsid w:val="00736DF0"/>
    <w:rsid w:val="00743108"/>
    <w:rsid w:val="00743384"/>
    <w:rsid w:val="007678C7"/>
    <w:rsid w:val="00773949"/>
    <w:rsid w:val="007C0C53"/>
    <w:rsid w:val="007C16A1"/>
    <w:rsid w:val="00862BD2"/>
    <w:rsid w:val="00867923"/>
    <w:rsid w:val="008D724B"/>
    <w:rsid w:val="00900E70"/>
    <w:rsid w:val="00903DB5"/>
    <w:rsid w:val="00916519"/>
    <w:rsid w:val="00923771"/>
    <w:rsid w:val="00925D15"/>
    <w:rsid w:val="00926596"/>
    <w:rsid w:val="009274CA"/>
    <w:rsid w:val="00930C7B"/>
    <w:rsid w:val="009332D6"/>
    <w:rsid w:val="0093653C"/>
    <w:rsid w:val="00962EE3"/>
    <w:rsid w:val="00982560"/>
    <w:rsid w:val="00987C75"/>
    <w:rsid w:val="009B5E16"/>
    <w:rsid w:val="009D11D9"/>
    <w:rsid w:val="009D7643"/>
    <w:rsid w:val="009E186F"/>
    <w:rsid w:val="009F4BBE"/>
    <w:rsid w:val="009F6BAF"/>
    <w:rsid w:val="00A44E3F"/>
    <w:rsid w:val="00A56DE2"/>
    <w:rsid w:val="00A60D09"/>
    <w:rsid w:val="00A65851"/>
    <w:rsid w:val="00A82F34"/>
    <w:rsid w:val="00A87DFD"/>
    <w:rsid w:val="00AB5A6C"/>
    <w:rsid w:val="00AC359C"/>
    <w:rsid w:val="00AF439D"/>
    <w:rsid w:val="00B005F9"/>
    <w:rsid w:val="00B04979"/>
    <w:rsid w:val="00B21790"/>
    <w:rsid w:val="00B32994"/>
    <w:rsid w:val="00B3721A"/>
    <w:rsid w:val="00B66429"/>
    <w:rsid w:val="00B67C15"/>
    <w:rsid w:val="00B80F16"/>
    <w:rsid w:val="00B8780B"/>
    <w:rsid w:val="00BB720A"/>
    <w:rsid w:val="00BC25D5"/>
    <w:rsid w:val="00BE5441"/>
    <w:rsid w:val="00C028EB"/>
    <w:rsid w:val="00C1635D"/>
    <w:rsid w:val="00C20481"/>
    <w:rsid w:val="00C32022"/>
    <w:rsid w:val="00C34C8A"/>
    <w:rsid w:val="00C42A76"/>
    <w:rsid w:val="00C54F66"/>
    <w:rsid w:val="00C66A39"/>
    <w:rsid w:val="00C9394C"/>
    <w:rsid w:val="00C948E4"/>
    <w:rsid w:val="00CB3FDD"/>
    <w:rsid w:val="00CB5996"/>
    <w:rsid w:val="00CB7D7A"/>
    <w:rsid w:val="00CE041D"/>
    <w:rsid w:val="00CE5931"/>
    <w:rsid w:val="00CF40D1"/>
    <w:rsid w:val="00D12BC5"/>
    <w:rsid w:val="00D16D88"/>
    <w:rsid w:val="00D26C5C"/>
    <w:rsid w:val="00D40186"/>
    <w:rsid w:val="00D458AD"/>
    <w:rsid w:val="00D46FD5"/>
    <w:rsid w:val="00D52F85"/>
    <w:rsid w:val="00D56BDC"/>
    <w:rsid w:val="00D57679"/>
    <w:rsid w:val="00DB3B2B"/>
    <w:rsid w:val="00DD2979"/>
    <w:rsid w:val="00DD786D"/>
    <w:rsid w:val="00DF7988"/>
    <w:rsid w:val="00E15FFE"/>
    <w:rsid w:val="00E25619"/>
    <w:rsid w:val="00E91551"/>
    <w:rsid w:val="00EB2847"/>
    <w:rsid w:val="00EC25B1"/>
    <w:rsid w:val="00EC2760"/>
    <w:rsid w:val="00EC3707"/>
    <w:rsid w:val="00EE1BB7"/>
    <w:rsid w:val="00EE3F4E"/>
    <w:rsid w:val="00F13683"/>
    <w:rsid w:val="00F208E5"/>
    <w:rsid w:val="00F25AA3"/>
    <w:rsid w:val="00F62B14"/>
    <w:rsid w:val="00F651A8"/>
    <w:rsid w:val="00F8027F"/>
    <w:rsid w:val="00F83987"/>
    <w:rsid w:val="00F917CB"/>
    <w:rsid w:val="00FA3E2E"/>
    <w:rsid w:val="00FA3F82"/>
    <w:rsid w:val="00FC6218"/>
    <w:rsid w:val="00FD669D"/>
    <w:rsid w:val="00FF5E07"/>
    <w:rsid w:val="01299BCB"/>
    <w:rsid w:val="0347DBDB"/>
    <w:rsid w:val="0353FA17"/>
    <w:rsid w:val="03B06C6E"/>
    <w:rsid w:val="03F92AC4"/>
    <w:rsid w:val="05015F47"/>
    <w:rsid w:val="05B52C3A"/>
    <w:rsid w:val="090FCD4E"/>
    <w:rsid w:val="09DE3265"/>
    <w:rsid w:val="0BDA14AC"/>
    <w:rsid w:val="0C4E2577"/>
    <w:rsid w:val="0CA2A4D8"/>
    <w:rsid w:val="0E1D9510"/>
    <w:rsid w:val="0E942450"/>
    <w:rsid w:val="0E98282A"/>
    <w:rsid w:val="0EF6CCF2"/>
    <w:rsid w:val="0FAD3F86"/>
    <w:rsid w:val="0FE2A25F"/>
    <w:rsid w:val="1168EC21"/>
    <w:rsid w:val="11CEA5A1"/>
    <w:rsid w:val="13BCD902"/>
    <w:rsid w:val="14ED1E06"/>
    <w:rsid w:val="15660E76"/>
    <w:rsid w:val="15DA948B"/>
    <w:rsid w:val="17180067"/>
    <w:rsid w:val="17529342"/>
    <w:rsid w:val="177664EC"/>
    <w:rsid w:val="17F5A1CA"/>
    <w:rsid w:val="189DAF38"/>
    <w:rsid w:val="19A2EC12"/>
    <w:rsid w:val="1A7F353E"/>
    <w:rsid w:val="1B47F3A2"/>
    <w:rsid w:val="1C9220AD"/>
    <w:rsid w:val="1CB5640B"/>
    <w:rsid w:val="1D01E2DE"/>
    <w:rsid w:val="1DEBF31E"/>
    <w:rsid w:val="1E94004C"/>
    <w:rsid w:val="2244917E"/>
    <w:rsid w:val="22707829"/>
    <w:rsid w:val="229EE691"/>
    <w:rsid w:val="22B44028"/>
    <w:rsid w:val="2375B8D5"/>
    <w:rsid w:val="2446C7C5"/>
    <w:rsid w:val="253BDA45"/>
    <w:rsid w:val="25CB6D85"/>
    <w:rsid w:val="29C79171"/>
    <w:rsid w:val="2B0BD0E0"/>
    <w:rsid w:val="2CC60E5A"/>
    <w:rsid w:val="2CD1A4EC"/>
    <w:rsid w:val="2E284CEE"/>
    <w:rsid w:val="2E7F23A4"/>
    <w:rsid w:val="2E819F63"/>
    <w:rsid w:val="2EEC1881"/>
    <w:rsid w:val="315B8275"/>
    <w:rsid w:val="315D4150"/>
    <w:rsid w:val="32EA2A33"/>
    <w:rsid w:val="33354FDE"/>
    <w:rsid w:val="33613689"/>
    <w:rsid w:val="344E61F5"/>
    <w:rsid w:val="347945B2"/>
    <w:rsid w:val="350F5831"/>
    <w:rsid w:val="35395725"/>
    <w:rsid w:val="3724DB59"/>
    <w:rsid w:val="37CC81CE"/>
    <w:rsid w:val="3808C101"/>
    <w:rsid w:val="38D0F262"/>
    <w:rsid w:val="39827939"/>
    <w:rsid w:val="39AC7EE8"/>
    <w:rsid w:val="3A231067"/>
    <w:rsid w:val="3AD72426"/>
    <w:rsid w:val="3B351A78"/>
    <w:rsid w:val="3C26BFA3"/>
    <w:rsid w:val="3C79DA5B"/>
    <w:rsid w:val="3E3D9C10"/>
    <w:rsid w:val="4333D668"/>
    <w:rsid w:val="444D249C"/>
    <w:rsid w:val="4618D016"/>
    <w:rsid w:val="461F8773"/>
    <w:rsid w:val="46366FBA"/>
    <w:rsid w:val="46D2731D"/>
    <w:rsid w:val="473AB719"/>
    <w:rsid w:val="48ECDF24"/>
    <w:rsid w:val="4972362A"/>
    <w:rsid w:val="49C2A2B2"/>
    <w:rsid w:val="49F0ECB6"/>
    <w:rsid w:val="4AE8D164"/>
    <w:rsid w:val="4B5E7313"/>
    <w:rsid w:val="4C647794"/>
    <w:rsid w:val="4E2CD638"/>
    <w:rsid w:val="4E3ABDAD"/>
    <w:rsid w:val="4EBC0538"/>
    <w:rsid w:val="4EF513F4"/>
    <w:rsid w:val="4F10E658"/>
    <w:rsid w:val="4F794616"/>
    <w:rsid w:val="4FAE9DE9"/>
    <w:rsid w:val="504FCE8B"/>
    <w:rsid w:val="519FB9FB"/>
    <w:rsid w:val="51D2D9C1"/>
    <w:rsid w:val="53D91770"/>
    <w:rsid w:val="54273B19"/>
    <w:rsid w:val="54441F8E"/>
    <w:rsid w:val="549D0848"/>
    <w:rsid w:val="550EFCB9"/>
    <w:rsid w:val="556EC4CC"/>
    <w:rsid w:val="558027DC"/>
    <w:rsid w:val="56566DBE"/>
    <w:rsid w:val="5659D95C"/>
    <w:rsid w:val="56A88864"/>
    <w:rsid w:val="5713CD4E"/>
    <w:rsid w:val="5980B545"/>
    <w:rsid w:val="59EF3205"/>
    <w:rsid w:val="5A20745F"/>
    <w:rsid w:val="5B27E727"/>
    <w:rsid w:val="5C592B41"/>
    <w:rsid w:val="5E557F77"/>
    <w:rsid w:val="5E8535F4"/>
    <w:rsid w:val="5EE8EC7A"/>
    <w:rsid w:val="5F0DE1C5"/>
    <w:rsid w:val="5F19182F"/>
    <w:rsid w:val="607D66BD"/>
    <w:rsid w:val="6108401F"/>
    <w:rsid w:val="611888FA"/>
    <w:rsid w:val="62A54A9A"/>
    <w:rsid w:val="62F8FA88"/>
    <w:rsid w:val="642ABA14"/>
    <w:rsid w:val="64346EC4"/>
    <w:rsid w:val="64862A03"/>
    <w:rsid w:val="6791E41A"/>
    <w:rsid w:val="67928818"/>
    <w:rsid w:val="67BDCAC5"/>
    <w:rsid w:val="6823FCCB"/>
    <w:rsid w:val="68A72F2E"/>
    <w:rsid w:val="68C4BD92"/>
    <w:rsid w:val="695A41C3"/>
    <w:rsid w:val="6AF61224"/>
    <w:rsid w:val="6F9D447B"/>
    <w:rsid w:val="709CCC85"/>
    <w:rsid w:val="7134C6FE"/>
    <w:rsid w:val="726393D7"/>
    <w:rsid w:val="73530222"/>
    <w:rsid w:val="73D3A03E"/>
    <w:rsid w:val="74D58927"/>
    <w:rsid w:val="7585059D"/>
    <w:rsid w:val="75A4B8F6"/>
    <w:rsid w:val="773704FA"/>
    <w:rsid w:val="78990185"/>
    <w:rsid w:val="78E16542"/>
    <w:rsid w:val="79329D6E"/>
    <w:rsid w:val="79665986"/>
    <w:rsid w:val="7A025337"/>
    <w:rsid w:val="7A1C2ADE"/>
    <w:rsid w:val="7B82ADC6"/>
    <w:rsid w:val="7BE49345"/>
    <w:rsid w:val="7C556BF1"/>
    <w:rsid w:val="7D3F3900"/>
    <w:rsid w:val="7DC71D64"/>
    <w:rsid w:val="7DF13C52"/>
    <w:rsid w:val="7E0DB31B"/>
    <w:rsid w:val="7EBAAAFB"/>
    <w:rsid w:val="7F1DC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normaltextrun">
    <w:name w:val="normaltextrun"/>
    <w:basedOn w:val="Fontepargpadro"/>
    <w:qFormat/>
    <w:rsid w:val="00CF0C93"/>
  </w:style>
  <w:style w:type="character" w:customStyle="1" w:styleId="eop">
    <w:name w:val="eop"/>
    <w:basedOn w:val="Fontepargpadro"/>
    <w:qFormat/>
    <w:rsid w:val="00CF0C93"/>
  </w:style>
  <w:style w:type="character" w:customStyle="1" w:styleId="fontstyle0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customStyle="1" w:styleId="contentpasted0">
    <w:name w:val="contentpasted0"/>
    <w:basedOn w:val="Fontepargpadro"/>
    <w:qFormat/>
    <w:rsid w:val="0052050C"/>
  </w:style>
  <w:style w:type="character" w:customStyle="1" w:styleId="contentpasted2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agraph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lementtoproof">
    <w:name w:val="x_elementtoproof"/>
    <w:basedOn w:val="Fontepargpadro"/>
    <w:rsid w:val="00033E89"/>
  </w:style>
  <w:style w:type="character" w:customStyle="1" w:styleId="contentpasted4">
    <w:name w:val="contentpasted4"/>
    <w:basedOn w:val="Fontepargpadro"/>
    <w:rsid w:val="00033E89"/>
  </w:style>
  <w:style w:type="character" w:customStyle="1" w:styleId="contentpasted5">
    <w:name w:val="contentpasted5"/>
    <w:basedOn w:val="Fontepargpadro"/>
    <w:rsid w:val="00033E89"/>
  </w:style>
  <w:style w:type="character" w:customStyle="1" w:styleId="ui-provider">
    <w:name w:val="ui-provider"/>
    <w:basedOn w:val="Fontepargpadro"/>
    <w:rsid w:val="009F4BBE"/>
  </w:style>
  <w:style w:type="character" w:styleId="Forte">
    <w:name w:val="Strong"/>
    <w:basedOn w:val="Fontepargpadro"/>
    <w:uiPriority w:val="22"/>
    <w:qFormat/>
    <w:rsid w:val="00032877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04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6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2D31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916519"/>
    <w:pPr>
      <w:widowControl/>
      <w:suppressAutoHyphens w:val="0"/>
    </w:pPr>
    <w:rPr>
      <w:rFonts w:ascii="Calibri" w:hAnsi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9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mpla.com.br/evento/cau-mg-no-circuito-urbano-2023/21632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4FE-8436-485A-A7B3-A8712CD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2425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15</cp:revision>
  <cp:lastPrinted>2017-05-11T17:11:00Z</cp:lastPrinted>
  <dcterms:created xsi:type="dcterms:W3CDTF">2023-11-08T18:58:00Z</dcterms:created>
  <dcterms:modified xsi:type="dcterms:W3CDTF">2023-11-10T13:42:00Z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