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3FBD9D8D" w:rsidR="00D673DB" w:rsidRPr="00F81837" w:rsidRDefault="3DB5A513" w:rsidP="00106CD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8641F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5.1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EDF50E2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proofErr w:type="gramEnd"/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21</w:t>
            </w:r>
            <w:r w:rsidR="007B0B97" w:rsidRPr="007B0B9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971AC98" w:rsidR="0053398C" w:rsidRPr="00F81837" w:rsidRDefault="00BC331B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</w:t>
            </w:r>
            <w:r w:rsidR="008641F1">
              <w:rPr>
                <w:rFonts w:asciiTheme="majorHAnsi" w:hAnsiTheme="majorHAnsi" w:cs="Times New Roman"/>
                <w:sz w:val="20"/>
                <w:szCs w:val="20"/>
              </w:rPr>
              <w:t>Gerência de Planejamento CAU/</w:t>
            </w:r>
            <w:proofErr w:type="gramStart"/>
            <w:r w:rsidR="008641F1">
              <w:rPr>
                <w:rFonts w:asciiTheme="majorHAnsi" w:hAnsiTheme="majorHAnsi" w:cs="Times New Roman"/>
                <w:sz w:val="20"/>
                <w:szCs w:val="20"/>
              </w:rPr>
              <w:t>MG</w:t>
            </w:r>
            <w:proofErr w:type="gramEnd"/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4C88EB5" w:rsidR="0053398C" w:rsidRPr="00F81837" w:rsidRDefault="00C21D94" w:rsidP="00C21D9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SOLICITA INDICAÇÃO DE ASSISTENTE ADMINISTRATIVO DEDICADO</w:t>
            </w:r>
            <w:bookmarkStart w:id="1" w:name="_GoBack"/>
            <w:bookmarkEnd w:id="1"/>
          </w:p>
        </w:tc>
      </w:tr>
      <w:bookmarkEnd w:id="0"/>
    </w:tbl>
    <w:p w14:paraId="084217BC" w14:textId="77777777" w:rsidR="0053398C" w:rsidRPr="00487456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D1A025B" w14:textId="79B20BF3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8641F1">
        <w:rPr>
          <w:rFonts w:asciiTheme="majorHAnsi" w:hAnsiTheme="majorHAnsi" w:cs="Times New Roman"/>
          <w:sz w:val="20"/>
          <w:szCs w:val="20"/>
        </w:rPr>
        <w:t>3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8641F1">
        <w:rPr>
          <w:rFonts w:asciiTheme="majorHAnsi" w:hAnsiTheme="majorHAnsi" w:cs="Times New Roman"/>
          <w:sz w:val="20"/>
          <w:szCs w:val="20"/>
        </w:rPr>
        <w:t>setembro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53905593" w14:textId="77777777" w:rsidR="00FE1DAD" w:rsidRPr="00487456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43FC2E2F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487456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1F1242F5" w14:textId="060E2C70" w:rsidR="00F04C7F" w:rsidRDefault="00405AE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85333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8641F1">
        <w:rPr>
          <w:rFonts w:asciiTheme="majorHAnsi" w:hAnsiTheme="majorHAnsi" w:cs="Times New Roman"/>
          <w:sz w:val="20"/>
          <w:szCs w:val="20"/>
        </w:rPr>
        <w:t>o inciso IX, art. 92, do Regimento Interno do CAU/MG, que dispõe como competência comum às Comissões Ordinárias e Especiais do CAU/MG “</w:t>
      </w:r>
      <w:r w:rsidR="008641F1" w:rsidRPr="008641F1">
        <w:rPr>
          <w:rFonts w:asciiTheme="majorHAnsi" w:hAnsiTheme="majorHAnsi" w:cs="Times New Roman"/>
          <w:i/>
          <w:sz w:val="20"/>
          <w:szCs w:val="20"/>
        </w:rPr>
        <w:t>apreciar, deliberar e monitorar a execução de programas e projetos do Planejamento Estratégico do CAU, no âmbito de suas competências</w:t>
      </w:r>
      <w:r w:rsidR="008641F1">
        <w:rPr>
          <w:rFonts w:asciiTheme="majorHAnsi" w:hAnsiTheme="majorHAnsi" w:cs="Times New Roman"/>
          <w:sz w:val="20"/>
          <w:szCs w:val="20"/>
        </w:rPr>
        <w:t>”.</w:t>
      </w:r>
    </w:p>
    <w:p w14:paraId="726FBDEE" w14:textId="77777777" w:rsidR="008641F1" w:rsidRPr="00640962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0FCFEC6" w14:textId="2A702574" w:rsidR="00640962" w:rsidRPr="00640962" w:rsidRDefault="00106CDF" w:rsidP="00106CDF">
      <w:pPr>
        <w:pStyle w:val="Default"/>
        <w:ind w:right="281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  <w:r w:rsidRPr="00640962">
        <w:rPr>
          <w:rFonts w:asciiTheme="majorHAnsi" w:hAnsiTheme="majorHAnsi"/>
          <w:color w:val="auto"/>
          <w:sz w:val="20"/>
          <w:szCs w:val="20"/>
          <w:lang w:val="pt-BR"/>
        </w:rPr>
        <w:t xml:space="preserve">Considerando que a Resolução CAUBR </w:t>
      </w:r>
      <w:r w:rsidR="00640962"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 xml:space="preserve">nº 239, de </w:t>
      </w:r>
      <w:proofErr w:type="gramStart"/>
      <w:r w:rsidR="00640962"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>6</w:t>
      </w:r>
      <w:proofErr w:type="gramEnd"/>
      <w:r w:rsidR="00640962"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 xml:space="preserve"> de setembro de 2023, </w:t>
      </w:r>
      <w:r w:rsidR="00640962"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>implica</w:t>
      </w:r>
      <w:r w:rsidRPr="00640962">
        <w:rPr>
          <w:rFonts w:asciiTheme="majorHAnsi" w:hAnsiTheme="majorHAnsi"/>
          <w:color w:val="auto"/>
          <w:sz w:val="20"/>
          <w:szCs w:val="20"/>
          <w:lang w:val="pt-BR"/>
        </w:rPr>
        <w:t xml:space="preserve"> nova</w:t>
      </w:r>
      <w:r w:rsidR="00640962" w:rsidRPr="00640962">
        <w:rPr>
          <w:rFonts w:asciiTheme="majorHAnsi" w:hAnsiTheme="majorHAnsi"/>
          <w:color w:val="auto"/>
          <w:sz w:val="20"/>
          <w:szCs w:val="20"/>
          <w:lang w:val="pt-BR"/>
        </w:rPr>
        <w:t xml:space="preserve"> rotina para a tramitação dos processos éticos que deverão ser julgados pela própria Comissão de Ética e Disciplina.</w:t>
      </w:r>
    </w:p>
    <w:p w14:paraId="36B0F48F" w14:textId="77777777" w:rsidR="00D85333" w:rsidRPr="00487456" w:rsidRDefault="00D8533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487456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20"/>
          <w:szCs w:val="20"/>
        </w:rPr>
      </w:pPr>
    </w:p>
    <w:p w14:paraId="6735DAA7" w14:textId="782EB608" w:rsidR="00106CDF" w:rsidRDefault="00487456" w:rsidP="00487456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 xml:space="preserve">Por </w:t>
      </w:r>
      <w:r w:rsidR="00106CDF">
        <w:rPr>
          <w:rFonts w:asciiTheme="majorHAnsi" w:hAnsiTheme="majorHAnsi" w:cs="Times New Roman"/>
          <w:sz w:val="20"/>
          <w:szCs w:val="20"/>
        </w:rPr>
        <w:t>solicitar a indicação de assistente administrativo dedicado à Comissão de Ética para apoio das novas funções inerentes ao atendimento da Resolução CAUBR nº 239.</w:t>
      </w:r>
    </w:p>
    <w:p w14:paraId="2AB0EDE4" w14:textId="77777777" w:rsidR="00D85333" w:rsidRPr="00487456" w:rsidRDefault="00D85333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  <w:bookmarkStart w:id="2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70429C" w:rsidRPr="00F569A1" w14:paraId="0D0BA7DA" w14:textId="77777777" w:rsidTr="008641F1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2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8641F1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12D0C11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246AD3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07127">
              <w:rPr>
                <w:rFonts w:asciiTheme="majorHAnsi" w:hAnsiTheme="majorHAnsi"/>
                <w:sz w:val="20"/>
                <w:szCs w:val="20"/>
              </w:rPr>
              <w:t xml:space="preserve">Claudia Alkmim Guimaraes Teixeira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6EFD8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00FDE2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898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8A9BD52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0429C" w:rsidRPr="00F569A1" w14:paraId="3CEF8C76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77777777" w:rsidR="0070429C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ADED6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1B15131" w14:textId="77777777" w:rsidR="0070429C" w:rsidRPr="00487456" w:rsidRDefault="0070429C" w:rsidP="0070429C">
      <w:p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</w:p>
    <w:p w14:paraId="6A84A7A1" w14:textId="77777777" w:rsidR="0070429C" w:rsidRDefault="0070429C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02032FC1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4F4BBC08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27794C3D" w14:textId="77777777" w:rsidR="00487456" w:rsidRPr="00A934DD" w:rsidRDefault="00487456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</w:rPr>
      </w:pPr>
      <w:r w:rsidRPr="00295395">
        <w:rPr>
          <w:rFonts w:asciiTheme="majorHAnsi" w:eastAsia="Calibri" w:hAnsiTheme="majorHAnsi" w:cs="Times New Roman"/>
          <w:b/>
        </w:rPr>
        <w:t xml:space="preserve">Fernanda Basques Moura Quintão </w:t>
      </w:r>
    </w:p>
    <w:p w14:paraId="0341FAA3" w14:textId="78B6D165" w:rsidR="00D85333" w:rsidRDefault="0070429C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>Coordenadora da Comissão de Ética e Disciplina do CAU/ MG</w:t>
      </w:r>
    </w:p>
    <w:sectPr w:rsidR="00D85333" w:rsidSect="007C67FE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3ECF" w14:textId="77777777" w:rsidR="008547DE" w:rsidRDefault="008547DE">
      <w:r>
        <w:separator/>
      </w:r>
    </w:p>
  </w:endnote>
  <w:endnote w:type="continuationSeparator" w:id="0">
    <w:p w14:paraId="6DB51D34" w14:textId="77777777" w:rsidR="008547DE" w:rsidRDefault="0085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967C9" w14:textId="77777777" w:rsidR="008547DE" w:rsidRDefault="008547DE">
      <w:r>
        <w:separator/>
      </w:r>
    </w:p>
  </w:footnote>
  <w:footnote w:type="continuationSeparator" w:id="0">
    <w:p w14:paraId="74DDB527" w14:textId="77777777" w:rsidR="008547DE" w:rsidRDefault="0085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8"/>
  </w:num>
  <w:num w:numId="6">
    <w:abstractNumId w:val="26"/>
  </w:num>
  <w:num w:numId="7">
    <w:abstractNumId w:val="1"/>
  </w:num>
  <w:num w:numId="8">
    <w:abstractNumId w:val="30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4"/>
  </w:num>
  <w:num w:numId="20">
    <w:abstractNumId w:val="9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2"/>
  </w:num>
  <w:num w:numId="29">
    <w:abstractNumId w:val="0"/>
  </w:num>
  <w:num w:numId="30">
    <w:abstractNumId w:val="10"/>
  </w:num>
  <w:num w:numId="31">
    <w:abstractNumId w:val="40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24"/>
  </w:num>
  <w:num w:numId="38">
    <w:abstractNumId w:val="4"/>
  </w:num>
  <w:num w:numId="39">
    <w:abstractNumId w:val="6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66E2-16DE-4334-8D0F-EEEAF720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11</cp:revision>
  <cp:lastPrinted>2021-04-01T20:08:00Z</cp:lastPrinted>
  <dcterms:created xsi:type="dcterms:W3CDTF">2023-08-17T13:28:00Z</dcterms:created>
  <dcterms:modified xsi:type="dcterms:W3CDTF">2023-09-14T17:32:00Z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