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570B7A23" w:rsidR="00D673DB" w:rsidRPr="00F81837" w:rsidRDefault="3DB5A513" w:rsidP="00D3341D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A846F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A846F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3A3972C4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A846F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11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04FCA43D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464E0BF" w:rsidR="0053398C" w:rsidRPr="00F81837" w:rsidRDefault="00F04C7F" w:rsidP="00946644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="000B4E8A">
              <w:rPr>
                <w:rFonts w:asciiTheme="majorHAnsi" w:hAnsiTheme="majorHAnsi" w:cs="Times New Roman"/>
                <w:sz w:val="20"/>
                <w:szCs w:val="20"/>
              </w:rPr>
              <w:t xml:space="preserve"> nº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A846FB">
              <w:rPr>
                <w:rFonts w:asciiTheme="majorHAnsi" w:hAnsiTheme="majorHAnsi" w:cs="Times New Roman"/>
                <w:sz w:val="20"/>
                <w:szCs w:val="20"/>
              </w:rPr>
              <w:t>630205</w:t>
            </w:r>
            <w:r w:rsidR="00946644">
              <w:rPr>
                <w:rFonts w:asciiTheme="majorHAnsi" w:hAnsiTheme="majorHAnsi" w:cs="Times New Roman"/>
                <w:sz w:val="20"/>
                <w:szCs w:val="20"/>
              </w:rPr>
              <w:t>/202</w:t>
            </w:r>
            <w:r w:rsidR="00A846FB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6B356869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CB879D0" w:rsidR="0053398C" w:rsidRPr="00F81837" w:rsidRDefault="007F6761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 e denunciante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AF38372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16C7387" w:rsidR="0053398C" w:rsidRPr="00F81837" w:rsidRDefault="00946644" w:rsidP="0094664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HOMOLOGAÇÃO DE CONCILIAÇÃO</w:t>
            </w:r>
          </w:p>
        </w:tc>
      </w:tr>
      <w:bookmarkEnd w:id="0"/>
    </w:tbl>
    <w:p w14:paraId="1E9772EE" w14:textId="77777777" w:rsidR="00023908" w:rsidRPr="00A846FB" w:rsidRDefault="00023908" w:rsidP="00A846FB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5D92896E" w14:textId="44BCEC9F" w:rsidR="007C3D39" w:rsidRPr="00F81837" w:rsidRDefault="007C3D39" w:rsidP="00A846FB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 xml:space="preserve">s de videoconferência, no dia </w:t>
      </w:r>
      <w:r w:rsidR="00A846FB">
        <w:rPr>
          <w:rFonts w:asciiTheme="majorHAnsi" w:hAnsiTheme="majorHAnsi" w:cs="Times New Roman"/>
          <w:sz w:val="20"/>
          <w:szCs w:val="20"/>
        </w:rPr>
        <w:t>29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A846FB"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A846FB" w:rsidRDefault="007C3D39" w:rsidP="00A846FB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9AF1734" w:rsidR="00F04C7F" w:rsidRPr="00F81837" w:rsidRDefault="00F04C7F" w:rsidP="00A846FB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A8DEC72" w14:textId="77777777" w:rsidR="00F04C7F" w:rsidRPr="00A846FB" w:rsidRDefault="00F04C7F" w:rsidP="00A846FB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1CC94600" w14:textId="77CAC50C" w:rsidR="00F04C7F" w:rsidRPr="00F81837" w:rsidRDefault="00F04C7F" w:rsidP="00A846FB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A846FB" w:rsidRDefault="00F04C7F" w:rsidP="00A846FB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1604283" w14:textId="7D26C972" w:rsidR="00946644" w:rsidRDefault="00F04C7F" w:rsidP="00A846FB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946644">
        <w:rPr>
          <w:rFonts w:asciiTheme="majorHAnsi" w:hAnsiTheme="majorHAnsi" w:cs="Times New Roman"/>
          <w:sz w:val="20"/>
          <w:szCs w:val="20"/>
        </w:rPr>
        <w:t xml:space="preserve">a Resolução nº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reabilitação profissional, e dá outras providências. </w:t>
      </w:r>
    </w:p>
    <w:p w14:paraId="1B46909E" w14:textId="77777777" w:rsidR="00946644" w:rsidRPr="00A846FB" w:rsidRDefault="00946644" w:rsidP="00A846FB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540B28A1" w14:textId="74ECDDAF" w:rsidR="00946644" w:rsidRDefault="00946644" w:rsidP="00A846FB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Considerando o art. 91 da Resolução </w:t>
      </w:r>
      <w:r w:rsidR="00C42E61">
        <w:rPr>
          <w:rFonts w:asciiTheme="majorHAnsi" w:hAnsiTheme="majorHAnsi" w:cs="Times New Roman"/>
          <w:sz w:val="20"/>
          <w:szCs w:val="20"/>
        </w:rPr>
        <w:t xml:space="preserve">nº 143, de 23 de junho de 2017, referente ao processo de conciliação no processo ético-disciplinar. </w:t>
      </w:r>
    </w:p>
    <w:p w14:paraId="25101470" w14:textId="77777777" w:rsidR="00C42E61" w:rsidRPr="00A846FB" w:rsidRDefault="00C42E61" w:rsidP="00A846FB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E0169FA" w14:textId="11CDEEDA" w:rsidR="00C42E61" w:rsidRPr="00A276B2" w:rsidRDefault="00C42E61" w:rsidP="00A846FB">
      <w:pPr>
        <w:suppressLineNumbers/>
        <w:ind w:right="-2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o acordo de conciliação entre as partes denunciante e denunciada, </w:t>
      </w:r>
      <w:r w:rsidR="00A846FB">
        <w:rPr>
          <w:rFonts w:asciiTheme="majorHAnsi" w:hAnsiTheme="majorHAnsi" w:cs="Times New Roman"/>
          <w:color w:val="000000" w:themeColor="text1"/>
          <w:sz w:val="20"/>
          <w:szCs w:val="20"/>
        </w:rPr>
        <w:t>celebrado em</w:t>
      </w:r>
      <w:r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Audiência de Conciliação realizada em</w:t>
      </w:r>
      <w:r w:rsidR="00A276B2"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A846FB">
        <w:rPr>
          <w:rFonts w:asciiTheme="majorHAnsi" w:hAnsiTheme="majorHAnsi" w:cs="Times New Roman"/>
          <w:color w:val="000000" w:themeColor="text1"/>
          <w:sz w:val="20"/>
          <w:szCs w:val="20"/>
        </w:rPr>
        <w:t>22</w:t>
      </w:r>
      <w:r w:rsidR="00A276B2"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A846FB">
        <w:rPr>
          <w:rFonts w:asciiTheme="majorHAnsi" w:hAnsiTheme="majorHAnsi" w:cs="Times New Roman"/>
          <w:color w:val="000000" w:themeColor="text1"/>
          <w:sz w:val="20"/>
          <w:szCs w:val="20"/>
        </w:rPr>
        <w:t>novembro</w:t>
      </w:r>
      <w:r w:rsidR="00A276B2"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2023</w:t>
      </w:r>
      <w:r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0E065147" w14:textId="77777777" w:rsidR="00946644" w:rsidRPr="00A846FB" w:rsidRDefault="00946644" w:rsidP="00A846FB">
      <w:pPr>
        <w:suppressLineNumbers/>
        <w:ind w:right="-2"/>
        <w:jc w:val="both"/>
        <w:rPr>
          <w:rFonts w:asciiTheme="majorHAnsi" w:hAnsiTheme="majorHAnsi" w:cs="Times New Roman"/>
          <w:color w:val="000000" w:themeColor="text1"/>
          <w:sz w:val="10"/>
          <w:szCs w:val="10"/>
        </w:rPr>
      </w:pPr>
    </w:p>
    <w:p w14:paraId="55272B05" w14:textId="40BB26D8" w:rsidR="008B36A9" w:rsidRPr="00A276B2" w:rsidRDefault="008B36A9" w:rsidP="00A846FB">
      <w:pPr>
        <w:suppressLineNumbers/>
        <w:ind w:right="-2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A846FB" w:rsidRDefault="00513883" w:rsidP="00A846FB">
      <w:pPr>
        <w:suppressLineNumbers/>
        <w:ind w:right="-2"/>
        <w:jc w:val="both"/>
        <w:rPr>
          <w:rFonts w:asciiTheme="majorHAnsi" w:hAnsiTheme="majorHAnsi" w:cs="Times New Roman"/>
          <w:b/>
          <w:bCs/>
          <w:color w:val="000000" w:themeColor="text1"/>
          <w:sz w:val="10"/>
          <w:szCs w:val="10"/>
        </w:rPr>
      </w:pPr>
    </w:p>
    <w:p w14:paraId="1441DA32" w14:textId="347D9AE7" w:rsidR="00C42E61" w:rsidRPr="00A276B2" w:rsidRDefault="007B63BA" w:rsidP="00A846FB">
      <w:pPr>
        <w:pStyle w:val="PargrafodaLista"/>
        <w:numPr>
          <w:ilvl w:val="0"/>
          <w:numId w:val="37"/>
        </w:numPr>
        <w:suppressAutoHyphens w:val="0"/>
        <w:ind w:left="0" w:firstLine="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H</w:t>
      </w:r>
      <w:r w:rsidR="00C42E61" w:rsidRPr="00A276B2">
        <w:rPr>
          <w:rFonts w:asciiTheme="majorHAnsi" w:hAnsiTheme="majorHAnsi"/>
          <w:color w:val="000000" w:themeColor="text1"/>
          <w:sz w:val="20"/>
          <w:szCs w:val="20"/>
        </w:rPr>
        <w:t>omologa</w:t>
      </w:r>
      <w:r>
        <w:rPr>
          <w:rFonts w:asciiTheme="majorHAnsi" w:hAnsiTheme="majorHAnsi"/>
          <w:color w:val="000000" w:themeColor="text1"/>
          <w:sz w:val="20"/>
          <w:szCs w:val="20"/>
        </w:rPr>
        <w:t>r</w:t>
      </w:r>
      <w:r w:rsidR="00C42E61" w:rsidRPr="00A276B2">
        <w:rPr>
          <w:rFonts w:asciiTheme="majorHAnsi" w:hAnsiTheme="majorHAnsi"/>
          <w:color w:val="000000" w:themeColor="text1"/>
          <w:sz w:val="20"/>
          <w:szCs w:val="20"/>
        </w:rPr>
        <w:t xml:space="preserve"> o acordo de conciliação obtido por meio da Audiência de Conciliação realizada em</w:t>
      </w:r>
      <w:r w:rsidR="00A276B2" w:rsidRPr="00A276B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A846FB">
        <w:rPr>
          <w:rFonts w:asciiTheme="majorHAnsi" w:hAnsiTheme="majorHAnsi" w:cs="Times New Roman"/>
          <w:color w:val="000000" w:themeColor="text1"/>
          <w:sz w:val="20"/>
          <w:szCs w:val="20"/>
        </w:rPr>
        <w:t>22</w:t>
      </w:r>
      <w:r w:rsidR="00A276B2"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A846FB">
        <w:rPr>
          <w:rFonts w:asciiTheme="majorHAnsi" w:hAnsiTheme="majorHAnsi" w:cs="Times New Roman"/>
          <w:color w:val="000000" w:themeColor="text1"/>
          <w:sz w:val="20"/>
          <w:szCs w:val="20"/>
        </w:rPr>
        <w:t>novembro</w:t>
      </w:r>
      <w:r w:rsidR="00A276B2"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2023</w:t>
      </w:r>
      <w:r w:rsidR="00C42E61" w:rsidRPr="00A276B2">
        <w:rPr>
          <w:rFonts w:asciiTheme="majorHAnsi" w:hAnsiTheme="majorHAnsi"/>
          <w:color w:val="000000" w:themeColor="text1"/>
          <w:sz w:val="20"/>
          <w:szCs w:val="20"/>
        </w:rPr>
        <w:t>, ressaltando o disposto no parágrafo quarto do art. 91 da Resolução nº 143 de 2017</w:t>
      </w:r>
      <w:r w:rsidR="00D22E70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14:paraId="0D647025" w14:textId="77777777" w:rsidR="00860248" w:rsidRPr="00A846FB" w:rsidRDefault="00860248" w:rsidP="00A846FB">
      <w:pPr>
        <w:pStyle w:val="PargrafodaLista"/>
        <w:suppressAutoHyphens w:val="0"/>
        <w:ind w:left="0" w:right="-2"/>
        <w:rPr>
          <w:rFonts w:asciiTheme="majorHAnsi" w:hAnsiTheme="majorHAnsi"/>
          <w:color w:val="000000" w:themeColor="text1"/>
          <w:sz w:val="20"/>
          <w:szCs w:val="20"/>
        </w:rPr>
      </w:pPr>
    </w:p>
    <w:p w14:paraId="626FD18B" w14:textId="54F8D030" w:rsidR="007C67FE" w:rsidRPr="00D22E70" w:rsidRDefault="00C42E61" w:rsidP="00A846FB">
      <w:pPr>
        <w:pStyle w:val="PargrafodaLista"/>
        <w:suppressAutoHyphens w:val="0"/>
        <w:ind w:left="2160" w:right="-2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D22E70">
        <w:rPr>
          <w:rFonts w:asciiTheme="majorHAnsi" w:hAnsiTheme="majorHAnsi"/>
          <w:i/>
          <w:iCs/>
          <w:color w:val="000000" w:themeColor="text1"/>
          <w:sz w:val="20"/>
          <w:szCs w:val="20"/>
        </w:rPr>
        <w:t>“§ 4° Até que o acordo obtido em conciliação homologada pela CED/UF seja efetivamente cumprido, o prazo prescricional da pretensão punitiva permanecerá suspenso”.</w:t>
      </w:r>
    </w:p>
    <w:p w14:paraId="47557155" w14:textId="77777777" w:rsidR="00D22E70" w:rsidRDefault="00D22E70" w:rsidP="00A846FB">
      <w:pPr>
        <w:widowControl/>
        <w:suppressAutoHyphens w:val="0"/>
        <w:ind w:right="-2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1218"/>
        <w:gridCol w:w="1192"/>
        <w:gridCol w:w="1275"/>
      </w:tblGrid>
      <w:tr w:rsidR="00D22E70" w:rsidRPr="000F5574" w14:paraId="32A26DFA" w14:textId="77777777" w:rsidTr="00A846FB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33E9B04F" w14:textId="77777777" w:rsidR="00D22E70" w:rsidRPr="000F5574" w:rsidRDefault="00D22E70" w:rsidP="00D22E70">
            <w:pPr>
              <w:spacing w:line="276" w:lineRule="auto"/>
              <w:ind w:right="-2"/>
              <w:jc w:val="center"/>
              <w:rPr>
                <w:rFonts w:asciiTheme="majorHAnsi" w:hAnsiTheme="majorHAnsi"/>
                <w:b/>
              </w:rPr>
            </w:pPr>
            <w:r w:rsidRPr="000F5574"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271D85CA" w14:textId="77777777" w:rsidR="00D22E70" w:rsidRPr="000F5574" w:rsidRDefault="00D22E70" w:rsidP="00D22E70">
            <w:pPr>
              <w:spacing w:line="276" w:lineRule="auto"/>
              <w:ind w:right="-2"/>
              <w:jc w:val="center"/>
              <w:rPr>
                <w:rFonts w:asciiTheme="majorHAnsi" w:hAnsiTheme="majorHAnsi"/>
                <w:b/>
              </w:rPr>
            </w:pPr>
            <w:r w:rsidRPr="000F5574">
              <w:rPr>
                <w:rFonts w:asciiTheme="majorHAnsi" w:hAnsiTheme="majorHAnsi"/>
                <w:b/>
              </w:rPr>
              <w:t>VOTAÇÃO</w:t>
            </w:r>
          </w:p>
        </w:tc>
      </w:tr>
      <w:tr w:rsidR="00D22E70" w:rsidRPr="000F5574" w14:paraId="4299B3F4" w14:textId="77777777" w:rsidTr="00A846FB">
        <w:trPr>
          <w:trHeight w:val="33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C61D043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7F55E8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30F8EA2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06DF9F51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BEF9E53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D22E70" w:rsidRPr="000F5574" w14:paraId="138C6F21" w14:textId="77777777" w:rsidTr="00A846FB">
        <w:trPr>
          <w:trHeight w:val="337"/>
        </w:trPr>
        <w:tc>
          <w:tcPr>
            <w:tcW w:w="5245" w:type="dxa"/>
            <w:vAlign w:val="center"/>
          </w:tcPr>
          <w:p w14:paraId="1D997215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Fernanda Basques Moura Quintão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Coordenadora</w:t>
            </w:r>
          </w:p>
        </w:tc>
        <w:tc>
          <w:tcPr>
            <w:tcW w:w="1276" w:type="dxa"/>
            <w:vAlign w:val="center"/>
          </w:tcPr>
          <w:p w14:paraId="22BA4C53" w14:textId="2F08E9E9" w:rsidR="00D22E70" w:rsidRPr="000F5574" w:rsidRDefault="004C1811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600EC492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1980CA0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292C12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E70" w:rsidRPr="000F5574" w14:paraId="636F35AA" w14:textId="77777777" w:rsidTr="00A846FB">
        <w:trPr>
          <w:trHeight w:val="337"/>
        </w:trPr>
        <w:tc>
          <w:tcPr>
            <w:tcW w:w="5245" w:type="dxa"/>
            <w:vAlign w:val="center"/>
          </w:tcPr>
          <w:p w14:paraId="0D900E7F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Cecília Maria Rabelo Geraldo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Coord. Adjunta</w:t>
            </w:r>
          </w:p>
        </w:tc>
        <w:tc>
          <w:tcPr>
            <w:tcW w:w="1276" w:type="dxa"/>
            <w:vAlign w:val="center"/>
          </w:tcPr>
          <w:p w14:paraId="6A88D8E1" w14:textId="04025BDA" w:rsidR="00D22E70" w:rsidRPr="000F5574" w:rsidRDefault="004C1811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1EF5192A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BD3298A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ED5F56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E70" w:rsidRPr="000F5574" w14:paraId="786604E6" w14:textId="77777777" w:rsidTr="00A846FB">
        <w:trPr>
          <w:trHeight w:val="337"/>
        </w:trPr>
        <w:tc>
          <w:tcPr>
            <w:tcW w:w="5245" w:type="dxa"/>
            <w:vAlign w:val="center"/>
          </w:tcPr>
          <w:p w14:paraId="3C6AA947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Gustavo Rocha Ribeiro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6" w:type="dxa"/>
            <w:vAlign w:val="center"/>
          </w:tcPr>
          <w:p w14:paraId="62ECDF8F" w14:textId="698A6341" w:rsidR="00D22E70" w:rsidRPr="000F5574" w:rsidRDefault="004C1811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344957D4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CBB228C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296074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E70" w:rsidRPr="000F5574" w14:paraId="6D85831F" w14:textId="77777777" w:rsidTr="00A846FB">
        <w:trPr>
          <w:trHeight w:val="337"/>
        </w:trPr>
        <w:tc>
          <w:tcPr>
            <w:tcW w:w="5245" w:type="dxa"/>
            <w:vAlign w:val="center"/>
          </w:tcPr>
          <w:p w14:paraId="7CD6E5AF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Isabela Stiegert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6" w:type="dxa"/>
            <w:vAlign w:val="center"/>
          </w:tcPr>
          <w:p w14:paraId="5B366DC6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21E20DE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8DFB99D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E0BB7C" w14:textId="47670753" w:rsidR="00D22E70" w:rsidRPr="000F5574" w:rsidRDefault="007320D0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D22E70" w:rsidRPr="000F5574" w14:paraId="5EFA878C" w14:textId="77777777" w:rsidTr="00A846FB">
        <w:trPr>
          <w:trHeight w:val="337"/>
        </w:trPr>
        <w:tc>
          <w:tcPr>
            <w:tcW w:w="5245" w:type="dxa"/>
            <w:vAlign w:val="center"/>
          </w:tcPr>
          <w:p w14:paraId="36043EDD" w14:textId="6D387B32" w:rsidR="00D22E70" w:rsidRPr="000F5574" w:rsidRDefault="00A846FB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Antônio Augusto Pereira Moura </w:t>
            </w:r>
            <w:r w:rsidR="00D22E70" w:rsidRPr="000F5574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="00D22E70"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Titular</w:t>
            </w:r>
          </w:p>
        </w:tc>
        <w:tc>
          <w:tcPr>
            <w:tcW w:w="1276" w:type="dxa"/>
            <w:vAlign w:val="center"/>
          </w:tcPr>
          <w:p w14:paraId="5BEC6ED6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864FDAF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564D24D" w14:textId="77777777" w:rsidR="00D22E70" w:rsidRPr="000F5574" w:rsidRDefault="00D22E70" w:rsidP="00D22E70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E4C8DD" w14:textId="7D0EA321" w:rsidR="00D22E70" w:rsidRPr="004C1811" w:rsidRDefault="004C1811" w:rsidP="00D22E70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C1811">
              <w:rPr>
                <w:rFonts w:asciiTheme="majorHAnsi" w:hAnsiTheme="majorHAnsi"/>
                <w:bCs/>
                <w:sz w:val="20"/>
                <w:szCs w:val="20"/>
              </w:rPr>
              <w:t>X</w:t>
            </w:r>
          </w:p>
        </w:tc>
      </w:tr>
    </w:tbl>
    <w:p w14:paraId="4C2EE7B7" w14:textId="77777777" w:rsidR="00D22E70" w:rsidRPr="00A846FB" w:rsidRDefault="00D22E70" w:rsidP="00D22E70">
      <w:pPr>
        <w:suppressAutoHyphens w:val="0"/>
        <w:spacing w:line="276" w:lineRule="auto"/>
        <w:ind w:right="-2"/>
        <w:rPr>
          <w:rFonts w:asciiTheme="majorHAnsi" w:hAnsiTheme="majorHAnsi"/>
          <w:sz w:val="10"/>
          <w:szCs w:val="10"/>
        </w:rPr>
      </w:pPr>
    </w:p>
    <w:p w14:paraId="3E7C39DD" w14:textId="77777777" w:rsidR="00D22E70" w:rsidRPr="00A846FB" w:rsidRDefault="00D22E70" w:rsidP="00D22E70">
      <w:pPr>
        <w:spacing w:line="276" w:lineRule="auto"/>
        <w:ind w:right="-2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  <w:r w:rsidRPr="00A846FB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846FB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3EC499B8" w14:textId="77777777" w:rsidR="00D22E70" w:rsidRPr="000F5574" w:rsidRDefault="00D22E70" w:rsidP="00D22E70">
      <w:pPr>
        <w:spacing w:line="276" w:lineRule="auto"/>
        <w:ind w:right="-2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1749F7CC" w14:textId="77777777" w:rsidR="00D22E70" w:rsidRPr="000F5574" w:rsidRDefault="00D22E70" w:rsidP="00D22E70">
      <w:pPr>
        <w:ind w:right="-2"/>
        <w:jc w:val="center"/>
        <w:rPr>
          <w:rFonts w:asciiTheme="majorHAnsi" w:hAnsiTheme="majorHAnsi" w:cs="Arial"/>
          <w:iCs/>
          <w:lang w:eastAsia="pt-BR"/>
        </w:rPr>
      </w:pPr>
    </w:p>
    <w:p w14:paraId="0BB3F952" w14:textId="77777777" w:rsidR="00D22E70" w:rsidRPr="000F5574" w:rsidRDefault="00D22E70" w:rsidP="00D22E70">
      <w:pPr>
        <w:ind w:right="-2"/>
        <w:jc w:val="center"/>
        <w:rPr>
          <w:rFonts w:asciiTheme="majorHAnsi" w:hAnsiTheme="majorHAnsi" w:cs="Arial"/>
          <w:iCs/>
          <w:lang w:eastAsia="pt-BR"/>
        </w:rPr>
      </w:pPr>
    </w:p>
    <w:p w14:paraId="127078B6" w14:textId="77777777" w:rsidR="00D22E70" w:rsidRPr="000F5574" w:rsidRDefault="00D22E70" w:rsidP="00D22E70">
      <w:pPr>
        <w:spacing w:line="276" w:lineRule="auto"/>
        <w:ind w:right="-2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7FD3A140" w14:textId="77777777" w:rsidR="00D22E70" w:rsidRPr="000F5574" w:rsidRDefault="00D22E70" w:rsidP="00D22E70">
      <w:pPr>
        <w:spacing w:line="276" w:lineRule="auto"/>
        <w:ind w:right="-2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0F557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74DE0ADC" w14:textId="77777777" w:rsidR="00D22E70" w:rsidRPr="000F5574" w:rsidRDefault="00D22E70" w:rsidP="00D22E70">
      <w:pPr>
        <w:spacing w:line="276" w:lineRule="auto"/>
        <w:ind w:right="-2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Coordenadora</w:t>
      </w:r>
    </w:p>
    <w:p w14:paraId="05538872" w14:textId="77777777" w:rsidR="00D22E70" w:rsidRPr="000F5574" w:rsidRDefault="00D22E70" w:rsidP="00D22E70">
      <w:pPr>
        <w:spacing w:line="276" w:lineRule="auto"/>
        <w:ind w:right="-2"/>
        <w:jc w:val="center"/>
        <w:rPr>
          <w:rFonts w:asciiTheme="majorHAnsi" w:hAnsiTheme="majorHAnsi"/>
          <w:sz w:val="20"/>
          <w:szCs w:val="20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p w14:paraId="143E3AFE" w14:textId="77777777" w:rsidR="0005133A" w:rsidRPr="00F81837" w:rsidRDefault="0005133A" w:rsidP="4CF36C98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05133A" w:rsidRPr="00F8183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A052" w14:textId="77777777" w:rsidR="004A7D60" w:rsidRDefault="004A7D60">
      <w:r>
        <w:separator/>
      </w:r>
    </w:p>
  </w:endnote>
  <w:endnote w:type="continuationSeparator" w:id="0">
    <w:p w14:paraId="4999E2B2" w14:textId="77777777" w:rsidR="004A7D60" w:rsidRDefault="004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8F87" w14:textId="77777777" w:rsidR="004A7D60" w:rsidRDefault="004A7D60">
      <w:r>
        <w:separator/>
      </w:r>
    </w:p>
  </w:footnote>
  <w:footnote w:type="continuationSeparator" w:id="0">
    <w:p w14:paraId="64BA9B1A" w14:textId="77777777" w:rsidR="004A7D60" w:rsidRDefault="004A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203276">
    <w:abstractNumId w:val="25"/>
  </w:num>
  <w:num w:numId="2" w16cid:durableId="518928107">
    <w:abstractNumId w:val="35"/>
  </w:num>
  <w:num w:numId="3" w16cid:durableId="1532959867">
    <w:abstractNumId w:val="18"/>
  </w:num>
  <w:num w:numId="4" w16cid:durableId="1573739805">
    <w:abstractNumId w:val="28"/>
  </w:num>
  <w:num w:numId="5" w16cid:durableId="1551382172">
    <w:abstractNumId w:val="6"/>
  </w:num>
  <w:num w:numId="6" w16cid:durableId="1048148264">
    <w:abstractNumId w:val="24"/>
  </w:num>
  <w:num w:numId="7" w16cid:durableId="1600790923">
    <w:abstractNumId w:val="1"/>
  </w:num>
  <w:num w:numId="8" w16cid:durableId="1363478935">
    <w:abstractNumId w:val="27"/>
  </w:num>
  <w:num w:numId="9" w16cid:durableId="1199776039">
    <w:abstractNumId w:val="5"/>
  </w:num>
  <w:num w:numId="10" w16cid:durableId="847405859">
    <w:abstractNumId w:val="4"/>
  </w:num>
  <w:num w:numId="11" w16cid:durableId="1412779774">
    <w:abstractNumId w:val="16"/>
  </w:num>
  <w:num w:numId="12" w16cid:durableId="1337268409">
    <w:abstractNumId w:val="2"/>
  </w:num>
  <w:num w:numId="13" w16cid:durableId="2012875381">
    <w:abstractNumId w:val="13"/>
  </w:num>
  <w:num w:numId="14" w16cid:durableId="210845708">
    <w:abstractNumId w:val="17"/>
  </w:num>
  <w:num w:numId="15" w16cid:durableId="706759896">
    <w:abstractNumId w:val="12"/>
  </w:num>
  <w:num w:numId="16" w16cid:durableId="179469230">
    <w:abstractNumId w:val="21"/>
  </w:num>
  <w:num w:numId="17" w16cid:durableId="1374309714">
    <w:abstractNumId w:val="14"/>
  </w:num>
  <w:num w:numId="18" w16cid:durableId="1233396496">
    <w:abstractNumId w:val="3"/>
  </w:num>
  <w:num w:numId="19" w16cid:durableId="937563027">
    <w:abstractNumId w:val="30"/>
  </w:num>
  <w:num w:numId="20" w16cid:durableId="167018338">
    <w:abstractNumId w:val="7"/>
  </w:num>
  <w:num w:numId="21" w16cid:durableId="171453665">
    <w:abstractNumId w:val="23"/>
  </w:num>
  <w:num w:numId="22" w16cid:durableId="986325403">
    <w:abstractNumId w:val="19"/>
  </w:num>
  <w:num w:numId="23" w16cid:durableId="73749308">
    <w:abstractNumId w:val="20"/>
  </w:num>
  <w:num w:numId="24" w16cid:durableId="846602064">
    <w:abstractNumId w:val="9"/>
  </w:num>
  <w:num w:numId="25" w16cid:durableId="482163119">
    <w:abstractNumId w:val="32"/>
  </w:num>
  <w:num w:numId="26" w16cid:durableId="162286021">
    <w:abstractNumId w:val="31"/>
  </w:num>
  <w:num w:numId="27" w16cid:durableId="825972206">
    <w:abstractNumId w:val="11"/>
  </w:num>
  <w:num w:numId="28" w16cid:durableId="649093316">
    <w:abstractNumId w:val="29"/>
  </w:num>
  <w:num w:numId="29" w16cid:durableId="2135706193">
    <w:abstractNumId w:val="0"/>
  </w:num>
  <w:num w:numId="30" w16cid:durableId="1965575473">
    <w:abstractNumId w:val="8"/>
  </w:num>
  <w:num w:numId="31" w16cid:durableId="1572041946">
    <w:abstractNumId w:val="36"/>
  </w:num>
  <w:num w:numId="32" w16cid:durableId="114757535">
    <w:abstractNumId w:val="15"/>
  </w:num>
  <w:num w:numId="33" w16cid:durableId="2005233673">
    <w:abstractNumId w:val="34"/>
  </w:num>
  <w:num w:numId="34" w16cid:durableId="236288326">
    <w:abstractNumId w:val="33"/>
  </w:num>
  <w:num w:numId="35" w16cid:durableId="1213811140">
    <w:abstractNumId w:val="10"/>
  </w:num>
  <w:num w:numId="36" w16cid:durableId="971444679">
    <w:abstractNumId w:val="26"/>
  </w:num>
  <w:num w:numId="37" w16cid:durableId="1489714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907DD"/>
    <w:rsid w:val="000B24B8"/>
    <w:rsid w:val="000B4E8A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D4160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65C41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A7C50"/>
    <w:rsid w:val="004A7D60"/>
    <w:rsid w:val="004B58F0"/>
    <w:rsid w:val="004B7253"/>
    <w:rsid w:val="004C1811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20D0"/>
    <w:rsid w:val="007375A1"/>
    <w:rsid w:val="00744ECE"/>
    <w:rsid w:val="00761C87"/>
    <w:rsid w:val="0079579B"/>
    <w:rsid w:val="007958C6"/>
    <w:rsid w:val="007B63BA"/>
    <w:rsid w:val="007C3D39"/>
    <w:rsid w:val="007C5270"/>
    <w:rsid w:val="007C67FE"/>
    <w:rsid w:val="007D4AB8"/>
    <w:rsid w:val="007F1BD0"/>
    <w:rsid w:val="007F6761"/>
    <w:rsid w:val="00821966"/>
    <w:rsid w:val="00845619"/>
    <w:rsid w:val="00860248"/>
    <w:rsid w:val="008724F5"/>
    <w:rsid w:val="00880ED6"/>
    <w:rsid w:val="008B36A9"/>
    <w:rsid w:val="008D38A8"/>
    <w:rsid w:val="008D6C47"/>
    <w:rsid w:val="008F417F"/>
    <w:rsid w:val="0091793B"/>
    <w:rsid w:val="009229C4"/>
    <w:rsid w:val="009251C0"/>
    <w:rsid w:val="00945A0B"/>
    <w:rsid w:val="00946644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846FB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C3AB4"/>
    <w:rsid w:val="00BD582B"/>
    <w:rsid w:val="00BD6028"/>
    <w:rsid w:val="00BE257D"/>
    <w:rsid w:val="00BE3014"/>
    <w:rsid w:val="00BE7620"/>
    <w:rsid w:val="00C03E9D"/>
    <w:rsid w:val="00C12B27"/>
    <w:rsid w:val="00C13373"/>
    <w:rsid w:val="00C13A87"/>
    <w:rsid w:val="00C143F7"/>
    <w:rsid w:val="00C22179"/>
    <w:rsid w:val="00C42E61"/>
    <w:rsid w:val="00C5259B"/>
    <w:rsid w:val="00C54CB5"/>
    <w:rsid w:val="00C6352D"/>
    <w:rsid w:val="00C636D3"/>
    <w:rsid w:val="00C70894"/>
    <w:rsid w:val="00C73715"/>
    <w:rsid w:val="00C90A5D"/>
    <w:rsid w:val="00C979E1"/>
    <w:rsid w:val="00CA7815"/>
    <w:rsid w:val="00CE3595"/>
    <w:rsid w:val="00CF2C23"/>
    <w:rsid w:val="00D054AE"/>
    <w:rsid w:val="00D07860"/>
    <w:rsid w:val="00D15B06"/>
    <w:rsid w:val="00D22E70"/>
    <w:rsid w:val="00D3341D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6613E"/>
    <w:rsid w:val="00F81837"/>
    <w:rsid w:val="00F92619"/>
    <w:rsid w:val="00F96261"/>
    <w:rsid w:val="00FA7D4D"/>
    <w:rsid w:val="00FC5A19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6EA0A39C-6F12-42AF-8001-57124B2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F9A1-AD93-4F23-9D5F-E1533CFA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/>
  <dc:creator/>
  <cp:keywords>Proposta Proposta de Deliberação Plenária cobrança administrativa judicial e divida ativa ultima versão 26112014</cp:keywords>
  <cp:lastModifiedBy>Etica CAU/MG</cp:lastModifiedBy>
  <cp:revision>35</cp:revision>
  <cp:lastPrinted>2023-11-24T16:11:00Z</cp:lastPrinted>
  <dcterms:created xsi:type="dcterms:W3CDTF">2023-03-17T13:31:00Z</dcterms:created>
  <dcterms:modified xsi:type="dcterms:W3CDTF">2023-11-30T16:17:00Z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